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1116" w14:textId="77777777" w:rsidR="00150219" w:rsidRPr="00150219" w:rsidRDefault="00150219" w:rsidP="00150219">
      <w:pPr>
        <w:spacing w:after="200" w:line="276" w:lineRule="auto"/>
        <w:jc w:val="both"/>
        <w:rPr>
          <w:rFonts w:ascii="Calibri" w:eastAsia="Times New Roman" w:hAnsi="Calibri" w:cs="Calibri"/>
          <w:bCs/>
          <w:lang w:val="hr-HR" w:bidi="en-US"/>
        </w:rPr>
      </w:pPr>
      <w:r w:rsidRPr="00150219">
        <w:rPr>
          <w:rFonts w:ascii="Calibri" w:eastAsia="Times New Roman" w:hAnsi="Calibri" w:cs="Calibri"/>
          <w:bCs/>
          <w:lang w:val="hr-HR" w:bidi="en-US"/>
        </w:rPr>
        <w:t>Na temelju članka 17. stavka 3. Zakona o ublažavanju i uklanjanju posljedica prirodnih nepogoda („Narodne novine“ broj 16/19) i članka 37. Statuta Grada Novska („Službeni vjesnik“ broj 8/21), Gradsko vijeće Grada Novska na svojoj 8. sjednici održanoj dana 29. ožujka 2022. god. usvaja</w:t>
      </w:r>
    </w:p>
    <w:p w14:paraId="0A4F24AE" w14:textId="77777777" w:rsidR="00150219" w:rsidRPr="00150219" w:rsidRDefault="00150219" w:rsidP="00150219">
      <w:pPr>
        <w:spacing w:line="276" w:lineRule="auto"/>
        <w:jc w:val="center"/>
        <w:rPr>
          <w:rFonts w:ascii="Calibri" w:eastAsia="Times New Roman" w:hAnsi="Calibri" w:cs="Calibri"/>
          <w:b/>
          <w:lang w:val="hr-HR" w:bidi="en-US"/>
        </w:rPr>
      </w:pPr>
      <w:r w:rsidRPr="00150219">
        <w:rPr>
          <w:rFonts w:ascii="Calibri" w:eastAsia="Times New Roman" w:hAnsi="Calibri" w:cs="Calibri"/>
          <w:b/>
          <w:lang w:val="hr-HR" w:bidi="en-US"/>
        </w:rPr>
        <w:t>IZVJEŠĆE</w:t>
      </w:r>
    </w:p>
    <w:p w14:paraId="193ED6B8" w14:textId="77777777" w:rsidR="00150219" w:rsidRPr="00150219" w:rsidRDefault="00150219" w:rsidP="00150219">
      <w:pPr>
        <w:spacing w:line="276" w:lineRule="auto"/>
        <w:jc w:val="center"/>
        <w:rPr>
          <w:rFonts w:ascii="Calibri" w:eastAsia="Times New Roman" w:hAnsi="Calibri" w:cs="Calibri"/>
          <w:b/>
          <w:lang w:val="hr-HR" w:bidi="en-US"/>
        </w:rPr>
      </w:pPr>
      <w:r w:rsidRPr="00150219">
        <w:rPr>
          <w:rFonts w:ascii="Calibri" w:eastAsia="Times New Roman" w:hAnsi="Calibri" w:cs="Calibri"/>
          <w:b/>
          <w:lang w:val="hr-HR" w:bidi="en-US"/>
        </w:rPr>
        <w:t>o izvršenju Plana djelovanja u području prirodnih nepogoda Grada Novske</w:t>
      </w:r>
    </w:p>
    <w:p w14:paraId="1AC00A77" w14:textId="77777777" w:rsidR="00150219" w:rsidRPr="00150219" w:rsidRDefault="00150219" w:rsidP="00150219">
      <w:pPr>
        <w:spacing w:line="276" w:lineRule="auto"/>
        <w:jc w:val="center"/>
        <w:rPr>
          <w:rFonts w:ascii="Calibri" w:eastAsia="Times New Roman" w:hAnsi="Calibri" w:cs="Calibri"/>
          <w:b/>
          <w:lang w:val="hr-HR" w:bidi="en-US"/>
        </w:rPr>
      </w:pPr>
      <w:r w:rsidRPr="00150219">
        <w:rPr>
          <w:rFonts w:ascii="Calibri" w:eastAsia="Times New Roman" w:hAnsi="Calibri" w:cs="Calibri"/>
          <w:b/>
          <w:lang w:val="hr-HR" w:bidi="en-US"/>
        </w:rPr>
        <w:t>za 2021. godinu</w:t>
      </w:r>
    </w:p>
    <w:p w14:paraId="545E44DB" w14:textId="77777777" w:rsidR="00150219" w:rsidRPr="00150219" w:rsidRDefault="00150219" w:rsidP="00150219">
      <w:pPr>
        <w:spacing w:line="276" w:lineRule="auto"/>
        <w:jc w:val="center"/>
        <w:rPr>
          <w:rFonts w:ascii="Calibri" w:eastAsia="Times New Roman" w:hAnsi="Calibri" w:cs="Calibri"/>
          <w:b/>
          <w:highlight w:val="yellow"/>
          <w:lang w:val="hr-HR" w:bidi="en-US"/>
        </w:rPr>
      </w:pPr>
    </w:p>
    <w:p w14:paraId="3F84664B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lang w:val="hr-HR" w:bidi="en-US"/>
        </w:rPr>
      </w:pPr>
      <w:r w:rsidRPr="00150219">
        <w:rPr>
          <w:rFonts w:ascii="Calibri" w:eastAsia="Times New Roman" w:hAnsi="Calibri" w:cs="Calibri"/>
          <w:lang w:val="hr-HR" w:bidi="en-US"/>
        </w:rPr>
        <w:t xml:space="preserve">I. </w:t>
      </w:r>
    </w:p>
    <w:p w14:paraId="555511D4" w14:textId="77777777" w:rsidR="00150219" w:rsidRPr="00150219" w:rsidRDefault="00150219" w:rsidP="00150219">
      <w:pPr>
        <w:spacing w:line="276" w:lineRule="auto"/>
        <w:jc w:val="both"/>
        <w:textAlignment w:val="baseline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 xml:space="preserve">Temeljem članka 17. stavka 1. Zakona o ublažavanju i uklanjanju posljedica prirodnih nepogoda („Narodne novine“ broj 16/19) (u daljnjem tekstu: Zakon) predstavničko tijelo jedinice lokalne i područne (regionalne) samouprave do 30. studenog tekuće godine donosi Plan djelovanja za sljedeću kalendarsku godinu radi određenja mjera i postupanja djelomične sanacije šteta od prirodnih nepogoda. </w:t>
      </w:r>
    </w:p>
    <w:p w14:paraId="3B99CFE7" w14:textId="77777777" w:rsidR="00150219" w:rsidRPr="00150219" w:rsidRDefault="00150219" w:rsidP="00150219">
      <w:pPr>
        <w:spacing w:line="276" w:lineRule="auto"/>
        <w:jc w:val="both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6C99B40" w14:textId="77777777" w:rsidR="00150219" w:rsidRPr="00150219" w:rsidRDefault="00150219" w:rsidP="00150219">
      <w:pPr>
        <w:spacing w:line="276" w:lineRule="auto"/>
        <w:jc w:val="both"/>
        <w:textAlignment w:val="baseline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Člankom 17. stavkom 3. Zakona izvršno tijelo jedinice lokalne i područne (regionalne) samouprave podnosi predstavničkom tijelu jedinice lokalne i područne (regionalne) samouprave do 31. ožujka tekuće godine, izvješće o izvršenju plana djelovanja za proteklu kalendarsku godinu.</w:t>
      </w:r>
      <w:bookmarkStart w:id="0" w:name="_Toc2082171"/>
      <w:bookmarkStart w:id="1" w:name="_Toc2589512"/>
      <w:bookmarkStart w:id="2" w:name="_Toc6480053"/>
    </w:p>
    <w:bookmarkEnd w:id="0"/>
    <w:bookmarkEnd w:id="1"/>
    <w:bookmarkEnd w:id="2"/>
    <w:p w14:paraId="4F55A0EB" w14:textId="77777777" w:rsidR="00150219" w:rsidRPr="00150219" w:rsidRDefault="00150219" w:rsidP="00150219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 xml:space="preserve">II. </w:t>
      </w:r>
    </w:p>
    <w:p w14:paraId="230B39D4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i/>
          <w:iCs/>
          <w:lang w:val="hr-HR" w:eastAsia="hr-HR"/>
        </w:rPr>
        <w:t>Prirodne nepogode</w:t>
      </w:r>
    </w:p>
    <w:p w14:paraId="00B6476C" w14:textId="77777777" w:rsidR="00150219" w:rsidRPr="00150219" w:rsidRDefault="00150219" w:rsidP="00150219">
      <w:pPr>
        <w:spacing w:after="200" w:line="276" w:lineRule="auto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Times New Roman" w:hAnsi="Calibri" w:cs="Calibri"/>
          <w:lang w:val="hr-HR" w:eastAsia="hr-HR"/>
        </w:rPr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6BDE9FB2" w14:textId="77777777" w:rsidR="00150219" w:rsidRPr="00150219" w:rsidRDefault="00150219" w:rsidP="00150219">
      <w:pPr>
        <w:spacing w:line="276" w:lineRule="auto"/>
        <w:ind w:firstLine="360"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Prirodnim nepogodama smatraju se:</w:t>
      </w:r>
    </w:p>
    <w:p w14:paraId="56A168F9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potres,</w:t>
      </w:r>
    </w:p>
    <w:p w14:paraId="094500D6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olujni, orkanski i ostali jak vjetar,</w:t>
      </w:r>
    </w:p>
    <w:p w14:paraId="373DC631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požar,</w:t>
      </w:r>
    </w:p>
    <w:p w14:paraId="57E92555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poplava,</w:t>
      </w:r>
    </w:p>
    <w:p w14:paraId="264A1E6C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suša,</w:t>
      </w:r>
    </w:p>
    <w:p w14:paraId="047DE855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tuča,</w:t>
      </w:r>
    </w:p>
    <w:p w14:paraId="6D46C936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mraz,</w:t>
      </w:r>
    </w:p>
    <w:p w14:paraId="4FA20FA2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izvanredno velika visina snijega,</w:t>
      </w:r>
    </w:p>
    <w:p w14:paraId="173E8CCD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snježni nanos i lavina,</w:t>
      </w:r>
    </w:p>
    <w:p w14:paraId="55AC4ADF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nagomilavanje leda na vodotocima,</w:t>
      </w:r>
    </w:p>
    <w:p w14:paraId="4DC121E8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lastRenderedPageBreak/>
        <w:t>klizanje, tečenje, odronjavanje i prevrtanje zemljišta,</w:t>
      </w:r>
    </w:p>
    <w:p w14:paraId="053E9368" w14:textId="77777777" w:rsidR="00150219" w:rsidRPr="00150219" w:rsidRDefault="00150219" w:rsidP="001502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 w:eastAsia="hr-HR"/>
        </w:rPr>
      </w:pPr>
      <w:r w:rsidRPr="00150219">
        <w:rPr>
          <w:rFonts w:ascii="Calibri" w:eastAsia="Calibri" w:hAnsi="Calibri" w:cs="Calibri"/>
          <w:lang w:val="hr-HR" w:eastAsia="hr-HR"/>
        </w:rPr>
        <w:t>druge pojave takva opsega koje, ovisno o mjesnim prilikama, uzrokuju bitne poremećaje u životu ljudi na određenom području.</w:t>
      </w:r>
    </w:p>
    <w:p w14:paraId="4CA9B341" w14:textId="77777777" w:rsidR="00150219" w:rsidRPr="00150219" w:rsidRDefault="00150219" w:rsidP="00150219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Štetama od prirodnih nepogoda ne smatraju se one štete koje su namjerno izazvane na vlastitoj imovini te štete koje su nastale zbog nemara i/ili zbog nepoduzimanja propisanih mjera zaštite.</w:t>
      </w:r>
    </w:p>
    <w:p w14:paraId="254EA07A" w14:textId="77777777" w:rsidR="00150219" w:rsidRPr="00150219" w:rsidRDefault="00150219" w:rsidP="00150219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bookmarkStart w:id="3" w:name="_Toc2082173"/>
      <w:bookmarkStart w:id="4" w:name="_Toc2589514"/>
      <w:bookmarkStart w:id="5" w:name="_Toc6480055"/>
      <w:bookmarkStart w:id="6" w:name="_Toc32500279"/>
      <w:r w:rsidRPr="00150219">
        <w:rPr>
          <w:rFonts w:ascii="Calibri" w:eastAsia="Times New Roman" w:hAnsi="Calibri" w:cs="Calibri"/>
          <w:lang w:val="hr-HR"/>
        </w:rPr>
        <w:t xml:space="preserve">III. </w:t>
      </w:r>
    </w:p>
    <w:p w14:paraId="546F3652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r w:rsidRPr="00150219">
        <w:rPr>
          <w:rFonts w:ascii="Calibri" w:eastAsia="Times New Roman" w:hAnsi="Calibri" w:cs="Calibri"/>
          <w:i/>
          <w:iCs/>
          <w:lang w:val="hr-HR"/>
        </w:rPr>
        <w:t>Mjere i nositelji mjera u slučaju nastajanja prirodnih nepogoda na području Grada</w:t>
      </w:r>
      <w:bookmarkEnd w:id="3"/>
      <w:bookmarkEnd w:id="4"/>
      <w:bookmarkEnd w:id="5"/>
      <w:bookmarkEnd w:id="6"/>
    </w:p>
    <w:p w14:paraId="4983C500" w14:textId="77777777" w:rsidR="00150219" w:rsidRPr="00150219" w:rsidRDefault="00150219" w:rsidP="00150219">
      <w:pPr>
        <w:spacing w:line="276" w:lineRule="auto"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Prilikom provedbi mjera radi djelomičnog ublažavanja šteta od prirodnih nepogoda o kojima odlučuju nadležna tijela iz ovoga Zakona obvezno se uzima u obzir opseg nastalih šteta i utjecaj prirodnih nepogoda na stradanja stanovništva, ugrozu života i zdravlja ljudi te onemogućavanje nesmetanog funkcioniranja gospodarstva.</w:t>
      </w:r>
    </w:p>
    <w:p w14:paraId="5F296957" w14:textId="77777777" w:rsidR="00150219" w:rsidRPr="00150219" w:rsidRDefault="00150219" w:rsidP="00150219">
      <w:pPr>
        <w:spacing w:line="276" w:lineRule="auto"/>
        <w:jc w:val="both"/>
        <w:rPr>
          <w:rFonts w:ascii="Calibri" w:eastAsia="Times New Roman" w:hAnsi="Calibri" w:cs="Calibri"/>
          <w:highlight w:val="yellow"/>
          <w:lang w:val="hr-HR" w:eastAsia="hr-HR"/>
        </w:rPr>
      </w:pPr>
    </w:p>
    <w:p w14:paraId="52BB0E5D" w14:textId="77777777" w:rsidR="00150219" w:rsidRPr="00150219" w:rsidRDefault="00150219" w:rsidP="00150219">
      <w:pPr>
        <w:spacing w:line="276" w:lineRule="auto"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Planom djelovanja u području prirodnih nepogoda za 2021.god. Grada Novska mjere i nositelji mjera u slučaju nastajanja prirodnih nepogoda određeni su za sljedeće prirodne nepogode:</w:t>
      </w:r>
    </w:p>
    <w:p w14:paraId="6D22E4DE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bookmarkStart w:id="7" w:name="_Toc2082174"/>
      <w:bookmarkStart w:id="8" w:name="_Toc2589515"/>
      <w:bookmarkStart w:id="9" w:name="_Toc6480056"/>
      <w:bookmarkStart w:id="10" w:name="_Toc32500280"/>
      <w:r w:rsidRPr="00150219">
        <w:rPr>
          <w:rFonts w:ascii="Calibri" w:eastAsia="Times New Roman" w:hAnsi="Calibri" w:cs="Calibri"/>
          <w:lang w:val="hr-HR" w:eastAsia="hr-HR"/>
        </w:rPr>
        <w:t>Olujni i orkanski vjetar,</w:t>
      </w:r>
    </w:p>
    <w:p w14:paraId="6EB305BE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Poplava,</w:t>
      </w:r>
    </w:p>
    <w:p w14:paraId="64F035D8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Suša,</w:t>
      </w:r>
    </w:p>
    <w:p w14:paraId="6E4E87FE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Tuča,</w:t>
      </w:r>
    </w:p>
    <w:p w14:paraId="55C40406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Mraz,</w:t>
      </w:r>
    </w:p>
    <w:p w14:paraId="5BDB319F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Kiša – prekomjerne oborine,</w:t>
      </w:r>
    </w:p>
    <w:p w14:paraId="030B79A1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Klizišta,</w:t>
      </w:r>
    </w:p>
    <w:p w14:paraId="6A45D94C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Potres,</w:t>
      </w:r>
    </w:p>
    <w:p w14:paraId="14AE2137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Snijeg i led,</w:t>
      </w:r>
    </w:p>
    <w:p w14:paraId="773CF4F9" w14:textId="77777777" w:rsidR="00150219" w:rsidRPr="00150219" w:rsidRDefault="00150219" w:rsidP="0015021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 xml:space="preserve">Požari. </w:t>
      </w:r>
    </w:p>
    <w:p w14:paraId="788EE4EC" w14:textId="77777777" w:rsidR="00150219" w:rsidRPr="00150219" w:rsidRDefault="00150219" w:rsidP="00150219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IV.</w:t>
      </w:r>
    </w:p>
    <w:p w14:paraId="1CF1244D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i/>
          <w:iCs/>
          <w:lang w:val="hr-HR" w:eastAsia="hr-HR"/>
        </w:rPr>
        <w:t>Izvori sredstva pomoći za ublažavanje i djelomično uklanjanje posljedica prirodnih nepogoda</w:t>
      </w:r>
      <w:bookmarkEnd w:id="7"/>
      <w:bookmarkEnd w:id="8"/>
      <w:bookmarkEnd w:id="9"/>
      <w:bookmarkEnd w:id="10"/>
    </w:p>
    <w:p w14:paraId="6A0A6D78" w14:textId="77777777" w:rsidR="00150219" w:rsidRPr="00150219" w:rsidRDefault="00150219" w:rsidP="00150219">
      <w:pPr>
        <w:spacing w:line="276" w:lineRule="auto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Novčana sredstva i druge vrste pomoći za djelomičnu sanaciju šteta od prirodnih nepogoda na imovini oštećenika osiguravaju se iz: </w:t>
      </w:r>
    </w:p>
    <w:p w14:paraId="2D168A15" w14:textId="77777777" w:rsidR="00150219" w:rsidRPr="00150219" w:rsidRDefault="00150219" w:rsidP="0015021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Državnog proračuna s proračunskog razdjela ministarstva nadležnog za financije,</w:t>
      </w:r>
    </w:p>
    <w:p w14:paraId="54BC1A46" w14:textId="77777777" w:rsidR="00150219" w:rsidRPr="00150219" w:rsidRDefault="00150219" w:rsidP="0015021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Fondova Europske unije, i </w:t>
      </w:r>
    </w:p>
    <w:p w14:paraId="4F48D6AE" w14:textId="77777777" w:rsidR="00150219" w:rsidRPr="00150219" w:rsidRDefault="00150219" w:rsidP="0015021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Donacija.</w:t>
      </w:r>
    </w:p>
    <w:p w14:paraId="3860B697" w14:textId="77777777" w:rsidR="00150219" w:rsidRPr="00150219" w:rsidRDefault="00150219" w:rsidP="00150219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lang w:val="hr-HR"/>
        </w:rPr>
      </w:pPr>
    </w:p>
    <w:p w14:paraId="71498F7A" w14:textId="77777777" w:rsidR="00150219" w:rsidRPr="00150219" w:rsidRDefault="00150219" w:rsidP="00150219">
      <w:pPr>
        <w:spacing w:after="200" w:line="276" w:lineRule="auto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Sredstva iz fondova EU se ne mogu osigurati unaprijed, njihova dodjela se provodi prema posebnim propisima kojima se uređuje korištenje sredstava iz fondova EU.</w:t>
      </w:r>
    </w:p>
    <w:p w14:paraId="2E12263F" w14:textId="77777777" w:rsidR="00150219" w:rsidRPr="00150219" w:rsidRDefault="00150219" w:rsidP="00150219">
      <w:pPr>
        <w:spacing w:after="200" w:line="276" w:lineRule="auto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Sredstva pomoći za ublažavanje i djelomično uklanjanje posljedica prirodnih nepogoda strogo su namjenska sredstva te se raspoređuju prema postotku oštećenja vrijednosti potvrđene konačne procjene štete, o čemu odlučuju nadležna tijela. Navedena sredstva su nepovratna i nenamjenska </w:t>
      </w:r>
      <w:r w:rsidRPr="00150219">
        <w:rPr>
          <w:rFonts w:ascii="Calibri" w:eastAsia="Calibri" w:hAnsi="Calibri" w:cs="Calibri"/>
          <w:lang w:val="hr-HR"/>
        </w:rPr>
        <w:lastRenderedPageBreak/>
        <w:t>te se ne mogu koristiti kao kreditna sredstva niti zadržati kao prihod proračuna Grada. Gradonačelnik te krajnji korisnici odgovorni su za namjensko korištenje sredstava pomoći za ublažavanje i djelomično uklanjanje posljedica prirodnih nepogoda.</w:t>
      </w:r>
    </w:p>
    <w:p w14:paraId="0951FA29" w14:textId="77777777" w:rsidR="00150219" w:rsidRPr="00150219" w:rsidRDefault="00150219" w:rsidP="00150219">
      <w:pPr>
        <w:spacing w:line="276" w:lineRule="auto"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>Pomoć za ublažavanje i djelomično uklanjanje posljedica prirodnih nepogoda ne dodjeljuje se za:</w:t>
      </w:r>
    </w:p>
    <w:p w14:paraId="28F69E02" w14:textId="77777777" w:rsidR="00150219" w:rsidRPr="00150219" w:rsidRDefault="00150219" w:rsidP="001502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>štete na imovini koja je osigurana,</w:t>
      </w:r>
    </w:p>
    <w:p w14:paraId="18188586" w14:textId="77777777" w:rsidR="00150219" w:rsidRPr="00150219" w:rsidRDefault="00150219" w:rsidP="00150219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>štete na imovini koje nastanu od prirodnih nepogoda, a izazvane su namjerno, iz krajnjeg nemara ili nisu bile poduzete propisane mjere zaštite,</w:t>
      </w:r>
    </w:p>
    <w:p w14:paraId="7FC73480" w14:textId="77777777" w:rsidR="00150219" w:rsidRPr="00150219" w:rsidRDefault="00150219" w:rsidP="00150219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>neizravne štete,</w:t>
      </w:r>
    </w:p>
    <w:p w14:paraId="18361600" w14:textId="77777777" w:rsidR="00150219" w:rsidRPr="00150219" w:rsidRDefault="00150219" w:rsidP="00150219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>štete nastale na nezakonito izgrađenim zgradama javne namjene, gospodarskim zgradama i stambenim zgradama za koje nije doneseno rješenje o izvedenom stanju prema posebnim propisima, osim kada je prije  nastanka prirodne nepogode, pokrenut postupak donošenja rješenja o izvedenom stanju, u kojem slučaju će sredstva pomoći biti dodijeljena tek kada oštećenik dostavi pravomoćno rješenje nadležnog tijela,</w:t>
      </w:r>
    </w:p>
    <w:p w14:paraId="6DF6CF72" w14:textId="77777777" w:rsidR="00150219" w:rsidRPr="00150219" w:rsidRDefault="00150219" w:rsidP="00150219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>štete nastale na objektu ili području koje je u skladu s propisima koji uređuju zaštitu kulturnog dobra aktom proglašeno kulturnim dobrom ili je u vrijeme nastanka prirodne nepogode u postupku proglašavanja kulturnim dobrom,</w:t>
      </w:r>
    </w:p>
    <w:p w14:paraId="30813343" w14:textId="77777777" w:rsidR="00150219" w:rsidRPr="00150219" w:rsidRDefault="00150219" w:rsidP="00150219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 xml:space="preserve">štete koje nisu prijavljene i na propisan način i u zadanom roku unijete u Registar šteta prema odredbama </w:t>
      </w:r>
      <w:r w:rsidRPr="00150219">
        <w:rPr>
          <w:rFonts w:ascii="Calibri" w:eastAsia="Times New Roman" w:hAnsi="Calibri" w:cs="Calibri"/>
          <w:i/>
          <w:color w:val="000000"/>
          <w:lang w:val="hr-HR" w:eastAsia="hr-HR"/>
        </w:rPr>
        <w:t>Zakona</w:t>
      </w:r>
      <w:r w:rsidRPr="00150219">
        <w:rPr>
          <w:rFonts w:ascii="Calibri" w:eastAsia="Times New Roman" w:hAnsi="Calibri" w:cs="Calibri"/>
          <w:color w:val="000000"/>
          <w:lang w:val="hr-HR" w:eastAsia="hr-HR"/>
        </w:rPr>
        <w:t>,</w:t>
      </w:r>
    </w:p>
    <w:p w14:paraId="67986C13" w14:textId="77777777" w:rsidR="00150219" w:rsidRPr="00150219" w:rsidRDefault="00150219" w:rsidP="00150219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Times New Roman" w:hAnsi="Calibri" w:cs="Calibri"/>
          <w:color w:val="000000"/>
          <w:lang w:val="hr-HR" w:eastAsia="hr-HR"/>
        </w:rPr>
        <w:t>štete u slučaju osigurljivih rizika na imovini koja nije osigurana ako je vrijednost oštećene imovine manja od 60 % vrijednosti imovine.</w:t>
      </w:r>
      <w:bookmarkStart w:id="11" w:name="_Toc32500281"/>
    </w:p>
    <w:p w14:paraId="5D7713D4" w14:textId="77777777" w:rsidR="00150219" w:rsidRPr="00150219" w:rsidRDefault="00150219" w:rsidP="00150219">
      <w:pPr>
        <w:spacing w:line="276" w:lineRule="auto"/>
        <w:ind w:left="357"/>
        <w:jc w:val="center"/>
        <w:rPr>
          <w:rFonts w:ascii="Calibri" w:eastAsia="Times New Roman" w:hAnsi="Calibri" w:cs="Calibri"/>
          <w:color w:val="000000"/>
          <w:lang w:val="hr-HR" w:eastAsia="hr-HR"/>
        </w:rPr>
      </w:pPr>
      <w:r w:rsidRPr="00150219">
        <w:rPr>
          <w:rFonts w:ascii="Calibri" w:eastAsia="Calibri" w:hAnsi="Calibri" w:cs="Calibri"/>
          <w:lang w:val="hr-HR"/>
        </w:rPr>
        <w:t>V.</w:t>
      </w:r>
    </w:p>
    <w:p w14:paraId="3C40A0AE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r w:rsidRPr="00150219">
        <w:rPr>
          <w:rFonts w:ascii="Calibri" w:eastAsia="Times New Roman" w:hAnsi="Calibri" w:cs="Calibri"/>
          <w:i/>
          <w:iCs/>
          <w:lang w:val="hr-HR"/>
        </w:rPr>
        <w:t>Proglašenje prirodne nepogode</w:t>
      </w:r>
      <w:bookmarkEnd w:id="11"/>
    </w:p>
    <w:p w14:paraId="166105EF" w14:textId="77777777" w:rsidR="00150219" w:rsidRPr="00150219" w:rsidRDefault="00150219" w:rsidP="00150219">
      <w:pPr>
        <w:spacing w:line="276" w:lineRule="auto"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Za područje Grada Novska u 2021. godini proglašena je prirodna nepogoda potres kojom je nanijeta šteta na stambenim, gospodarskim, javnim, kulturnim i drugim objektima, na gospodarskim strojevima, mehanizaciji i opremi, na poljoprivrednom zemljištu, domaćim životinjama i višegodišnjim nasadima dana 28. i 29. prosinca 2020. godine.</w:t>
      </w:r>
    </w:p>
    <w:p w14:paraId="232D69AF" w14:textId="77777777" w:rsidR="00150219" w:rsidRPr="00150219" w:rsidRDefault="00150219" w:rsidP="0015021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i/>
          <w:iCs/>
          <w:lang w:val="hr-HR" w:eastAsia="hr-HR"/>
        </w:rPr>
      </w:pPr>
      <w:r w:rsidRPr="00150219">
        <w:rPr>
          <w:rFonts w:ascii="Calibri" w:eastAsia="Times New Roman" w:hAnsi="Calibri" w:cs="Calibri"/>
          <w:i/>
          <w:iCs/>
          <w:lang w:val="hr-HR" w:eastAsia="hr-HR"/>
        </w:rPr>
        <w:t>Odluka o proglašenju prirodne nepogode – potres (“Službeni vjesnik” broj 9/21).</w:t>
      </w:r>
    </w:p>
    <w:p w14:paraId="203C1978" w14:textId="77777777" w:rsidR="00150219" w:rsidRPr="00150219" w:rsidRDefault="00150219" w:rsidP="00150219">
      <w:pPr>
        <w:spacing w:line="276" w:lineRule="auto"/>
        <w:ind w:left="720"/>
        <w:contextualSpacing/>
        <w:rPr>
          <w:rFonts w:ascii="Calibri" w:eastAsia="Times New Roman" w:hAnsi="Calibri" w:cs="Calibri"/>
          <w:i/>
          <w:iCs/>
          <w:lang w:val="hr-HR" w:eastAsia="hr-HR"/>
        </w:rPr>
      </w:pPr>
    </w:p>
    <w:p w14:paraId="3CA9E197" w14:textId="77777777" w:rsidR="00150219" w:rsidRPr="00150219" w:rsidRDefault="00150219" w:rsidP="00150219">
      <w:pPr>
        <w:spacing w:line="276" w:lineRule="auto"/>
        <w:jc w:val="both"/>
        <w:rPr>
          <w:rFonts w:ascii="Calibri" w:eastAsia="Times New Roman" w:hAnsi="Calibri" w:cs="Calibri"/>
          <w:lang w:val="hr-HR" w:eastAsia="hr-HR"/>
        </w:rPr>
      </w:pPr>
      <w:r w:rsidRPr="00150219">
        <w:rPr>
          <w:rFonts w:ascii="Calibri" w:eastAsia="Times New Roman" w:hAnsi="Calibri" w:cs="Calibri"/>
          <w:lang w:val="hr-HR" w:eastAsia="hr-HR"/>
        </w:rPr>
        <w:t>Za područje Grada Novske u 2021. godini proglašena je prirodna nepogoda mraz kao posljedica niskih temperatura – mraza koji je zahvatio navedeno područje u razdoblju od 6. travnja do 8. travnja 2021. godine.</w:t>
      </w:r>
    </w:p>
    <w:p w14:paraId="5C404541" w14:textId="77777777" w:rsidR="00150219" w:rsidRPr="00150219" w:rsidRDefault="00150219" w:rsidP="0015021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i/>
          <w:iCs/>
          <w:lang w:val="hr-HR" w:eastAsia="hr-HR"/>
        </w:rPr>
      </w:pPr>
      <w:r w:rsidRPr="00150219">
        <w:rPr>
          <w:rFonts w:ascii="Calibri" w:eastAsia="Times New Roman" w:hAnsi="Calibri" w:cs="Calibri"/>
          <w:i/>
          <w:iCs/>
          <w:lang w:val="hr-HR" w:eastAsia="hr-HR"/>
        </w:rPr>
        <w:t xml:space="preserve">Odluka o proglašenju prirodne nepogode – mraz na području Grada Novske (“Službeni vjesnik” broj 13/21). </w:t>
      </w:r>
    </w:p>
    <w:p w14:paraId="28ADC1EE" w14:textId="77777777" w:rsidR="00150219" w:rsidRPr="00150219" w:rsidRDefault="00150219" w:rsidP="00150219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bookmarkStart w:id="12" w:name="_Toc32500282"/>
    </w:p>
    <w:p w14:paraId="2CF58FD8" w14:textId="77777777" w:rsidR="00150219" w:rsidRPr="00150219" w:rsidRDefault="00150219" w:rsidP="00150219">
      <w:pPr>
        <w:spacing w:after="200" w:line="276" w:lineRule="auto"/>
        <w:jc w:val="both"/>
        <w:rPr>
          <w:rFonts w:ascii="Calibri" w:eastAsia="Calibri" w:hAnsi="Calibri" w:cs="Times New Roman"/>
          <w:szCs w:val="22"/>
          <w:lang w:val="hr-HR"/>
        </w:rPr>
      </w:pPr>
    </w:p>
    <w:p w14:paraId="639C16C7" w14:textId="77777777" w:rsidR="00150219" w:rsidRPr="00150219" w:rsidRDefault="00150219" w:rsidP="00150219">
      <w:pPr>
        <w:spacing w:after="200" w:line="276" w:lineRule="auto"/>
        <w:jc w:val="both"/>
        <w:rPr>
          <w:rFonts w:ascii="Calibri" w:eastAsia="Calibri" w:hAnsi="Calibri" w:cs="Times New Roman"/>
          <w:szCs w:val="22"/>
          <w:lang w:val="hr-HR"/>
        </w:rPr>
      </w:pPr>
    </w:p>
    <w:p w14:paraId="7622AACE" w14:textId="77777777" w:rsidR="00150219" w:rsidRPr="00150219" w:rsidRDefault="00150219" w:rsidP="00150219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r w:rsidRPr="00150219">
        <w:rPr>
          <w:rFonts w:ascii="Calibri" w:eastAsia="Times New Roman" w:hAnsi="Calibri" w:cs="Calibri"/>
          <w:lang w:val="hr-HR"/>
        </w:rPr>
        <w:lastRenderedPageBreak/>
        <w:t xml:space="preserve">VI. </w:t>
      </w:r>
    </w:p>
    <w:p w14:paraId="2AFF8ADC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r w:rsidRPr="00150219">
        <w:rPr>
          <w:rFonts w:ascii="Calibri" w:eastAsia="Times New Roman" w:hAnsi="Calibri" w:cs="Calibri"/>
          <w:i/>
          <w:iCs/>
          <w:lang w:val="hr-HR"/>
        </w:rPr>
        <w:t>Procjena prirodnih nepogoda na području Grada Novska u posljednjih 10 godina</w:t>
      </w:r>
      <w:bookmarkEnd w:id="12"/>
    </w:p>
    <w:p w14:paraId="287EF4A9" w14:textId="77777777" w:rsidR="00150219" w:rsidRPr="00150219" w:rsidRDefault="00150219" w:rsidP="00150219">
      <w:pPr>
        <w:spacing w:line="360" w:lineRule="auto"/>
        <w:jc w:val="center"/>
        <w:rPr>
          <w:rFonts w:ascii="Calibri" w:eastAsia="Calibri" w:hAnsi="Calibri" w:cs="Calibri"/>
          <w:b/>
          <w:bCs/>
          <w:lang w:val="hr-HR" w:eastAsia="hr-HR"/>
        </w:rPr>
      </w:pPr>
      <w:bookmarkStart w:id="13" w:name="_Toc511734948"/>
      <w:bookmarkStart w:id="14" w:name="_Toc6480084"/>
      <w:bookmarkStart w:id="15" w:name="_Toc32500290"/>
      <w:r w:rsidRPr="00150219">
        <w:rPr>
          <w:rFonts w:ascii="Calibri" w:eastAsia="Calibri" w:hAnsi="Calibri" w:cs="Calibri"/>
          <w:b/>
          <w:bCs/>
          <w:lang w:val="hr-HR"/>
        </w:rPr>
        <w:t xml:space="preserve">Tablica </w:t>
      </w:r>
      <w:r w:rsidRPr="00150219">
        <w:rPr>
          <w:rFonts w:ascii="Calibri" w:eastAsia="Calibri" w:hAnsi="Calibri" w:cs="Calibri"/>
          <w:b/>
          <w:bCs/>
          <w:noProof/>
          <w:lang w:val="hr-HR"/>
        </w:rPr>
        <w:fldChar w:fldCharType="begin"/>
      </w:r>
      <w:r w:rsidRPr="00150219">
        <w:rPr>
          <w:rFonts w:ascii="Calibri" w:eastAsia="Calibri" w:hAnsi="Calibri" w:cs="Calibri"/>
          <w:b/>
          <w:bCs/>
          <w:noProof/>
          <w:lang w:val="hr-HR"/>
        </w:rPr>
        <w:instrText xml:space="preserve"> SEQ Tablica \* ARABIC </w:instrText>
      </w:r>
      <w:r w:rsidRPr="00150219">
        <w:rPr>
          <w:rFonts w:ascii="Calibri" w:eastAsia="Calibri" w:hAnsi="Calibri" w:cs="Calibri"/>
          <w:b/>
          <w:bCs/>
          <w:noProof/>
          <w:lang w:val="hr-HR"/>
        </w:rPr>
        <w:fldChar w:fldCharType="separate"/>
      </w:r>
      <w:r w:rsidRPr="00150219">
        <w:rPr>
          <w:rFonts w:ascii="Calibri" w:eastAsia="Calibri" w:hAnsi="Calibri" w:cs="Calibri"/>
          <w:b/>
          <w:bCs/>
          <w:noProof/>
          <w:lang w:val="hr-HR"/>
        </w:rPr>
        <w:t>1</w:t>
      </w:r>
      <w:r w:rsidRPr="00150219">
        <w:rPr>
          <w:rFonts w:ascii="Calibri" w:eastAsia="Calibri" w:hAnsi="Calibri" w:cs="Calibri"/>
          <w:b/>
          <w:bCs/>
          <w:noProof/>
          <w:lang w:val="hr-HR"/>
        </w:rPr>
        <w:fldChar w:fldCharType="end"/>
      </w:r>
      <w:r w:rsidRPr="00150219">
        <w:rPr>
          <w:rFonts w:ascii="Calibri" w:eastAsia="Calibri" w:hAnsi="Calibri" w:cs="Calibri"/>
          <w:b/>
          <w:bCs/>
          <w:lang w:val="hr-HR"/>
        </w:rPr>
        <w:t xml:space="preserve">: Prikaz šteta uslijed elementarnih nepogoda na području Grada </w:t>
      </w:r>
      <w:bookmarkEnd w:id="13"/>
      <w:bookmarkEnd w:id="14"/>
      <w:bookmarkEnd w:id="15"/>
      <w:r w:rsidRPr="00150219">
        <w:rPr>
          <w:rFonts w:ascii="Calibri" w:eastAsia="Calibri" w:hAnsi="Calibri" w:cs="Calibri"/>
          <w:b/>
          <w:bCs/>
          <w:lang w:val="hr-HR"/>
        </w:rPr>
        <w:t>Novska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3136"/>
        <w:gridCol w:w="2999"/>
        <w:gridCol w:w="2238"/>
      </w:tblGrid>
      <w:tr w:rsidR="00150219" w:rsidRPr="00150219" w14:paraId="2C3BF769" w14:textId="77777777" w:rsidTr="00D24FDC">
        <w:tc>
          <w:tcPr>
            <w:tcW w:w="687" w:type="dxa"/>
            <w:vAlign w:val="center"/>
          </w:tcPr>
          <w:p w14:paraId="297CCFF6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3136" w:type="dxa"/>
            <w:vAlign w:val="center"/>
          </w:tcPr>
          <w:p w14:paraId="3442DEAB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prirodne nepogode</w:t>
            </w:r>
          </w:p>
        </w:tc>
        <w:tc>
          <w:tcPr>
            <w:tcW w:w="2999" w:type="dxa"/>
            <w:vAlign w:val="center"/>
          </w:tcPr>
          <w:p w14:paraId="046518D9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Godina nastanka prirodne nepogode</w:t>
            </w:r>
          </w:p>
        </w:tc>
        <w:tc>
          <w:tcPr>
            <w:tcW w:w="2238" w:type="dxa"/>
            <w:vAlign w:val="center"/>
          </w:tcPr>
          <w:p w14:paraId="3576DE53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Prijavljena šteta (kn)</w:t>
            </w:r>
          </w:p>
        </w:tc>
      </w:tr>
      <w:tr w:rsidR="00150219" w:rsidRPr="00150219" w14:paraId="714A6AC2" w14:textId="77777777" w:rsidTr="00D24FDC">
        <w:tc>
          <w:tcPr>
            <w:tcW w:w="687" w:type="dxa"/>
            <w:vAlign w:val="center"/>
          </w:tcPr>
          <w:p w14:paraId="138F4825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136" w:type="dxa"/>
          </w:tcPr>
          <w:p w14:paraId="7ACF747A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Poplava</w:t>
            </w:r>
          </w:p>
        </w:tc>
        <w:tc>
          <w:tcPr>
            <w:tcW w:w="2999" w:type="dxa"/>
          </w:tcPr>
          <w:p w14:paraId="03B45FA4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2010.</w:t>
            </w:r>
          </w:p>
        </w:tc>
        <w:tc>
          <w:tcPr>
            <w:tcW w:w="2238" w:type="dxa"/>
          </w:tcPr>
          <w:p w14:paraId="39C5B8AC" w14:textId="77777777" w:rsidR="00150219" w:rsidRPr="00150219" w:rsidRDefault="00150219" w:rsidP="00150219">
            <w:pPr>
              <w:ind w:right="68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4.100.000,00</w:t>
            </w:r>
          </w:p>
        </w:tc>
      </w:tr>
      <w:tr w:rsidR="00150219" w:rsidRPr="00150219" w14:paraId="1E13500F" w14:textId="77777777" w:rsidTr="00D24FDC">
        <w:tc>
          <w:tcPr>
            <w:tcW w:w="687" w:type="dxa"/>
            <w:vAlign w:val="center"/>
          </w:tcPr>
          <w:p w14:paraId="4EEE913B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136" w:type="dxa"/>
          </w:tcPr>
          <w:p w14:paraId="31466EE8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Suša</w:t>
            </w:r>
          </w:p>
        </w:tc>
        <w:tc>
          <w:tcPr>
            <w:tcW w:w="2999" w:type="dxa"/>
          </w:tcPr>
          <w:p w14:paraId="76199863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2011.</w:t>
            </w:r>
          </w:p>
        </w:tc>
        <w:tc>
          <w:tcPr>
            <w:tcW w:w="2238" w:type="dxa"/>
          </w:tcPr>
          <w:p w14:paraId="4EF81390" w14:textId="77777777" w:rsidR="00150219" w:rsidRPr="00150219" w:rsidRDefault="00150219" w:rsidP="00150219">
            <w:pPr>
              <w:ind w:right="68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7.688.299,00</w:t>
            </w:r>
          </w:p>
        </w:tc>
      </w:tr>
      <w:tr w:rsidR="00150219" w:rsidRPr="00150219" w14:paraId="7422A878" w14:textId="77777777" w:rsidTr="00D24FDC">
        <w:tc>
          <w:tcPr>
            <w:tcW w:w="687" w:type="dxa"/>
            <w:vAlign w:val="center"/>
          </w:tcPr>
          <w:p w14:paraId="65F313A2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136" w:type="dxa"/>
          </w:tcPr>
          <w:p w14:paraId="394512EE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Mraz</w:t>
            </w:r>
          </w:p>
        </w:tc>
        <w:tc>
          <w:tcPr>
            <w:tcW w:w="2999" w:type="dxa"/>
          </w:tcPr>
          <w:p w14:paraId="29F40F93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2012.</w:t>
            </w:r>
          </w:p>
        </w:tc>
        <w:tc>
          <w:tcPr>
            <w:tcW w:w="2238" w:type="dxa"/>
          </w:tcPr>
          <w:p w14:paraId="13064F73" w14:textId="77777777" w:rsidR="00150219" w:rsidRPr="00150219" w:rsidRDefault="00150219" w:rsidP="00150219">
            <w:pPr>
              <w:ind w:right="68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1.451.910,00</w:t>
            </w:r>
          </w:p>
        </w:tc>
      </w:tr>
      <w:tr w:rsidR="00150219" w:rsidRPr="00150219" w14:paraId="047C5284" w14:textId="77777777" w:rsidTr="00D24FDC">
        <w:tc>
          <w:tcPr>
            <w:tcW w:w="687" w:type="dxa"/>
            <w:vAlign w:val="center"/>
          </w:tcPr>
          <w:p w14:paraId="70A5FE8C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136" w:type="dxa"/>
          </w:tcPr>
          <w:p w14:paraId="2B2343E9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Suša</w:t>
            </w:r>
          </w:p>
        </w:tc>
        <w:tc>
          <w:tcPr>
            <w:tcW w:w="2999" w:type="dxa"/>
          </w:tcPr>
          <w:p w14:paraId="02F10FA6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2012.</w:t>
            </w:r>
          </w:p>
        </w:tc>
        <w:tc>
          <w:tcPr>
            <w:tcW w:w="2238" w:type="dxa"/>
          </w:tcPr>
          <w:p w14:paraId="74F20A26" w14:textId="77777777" w:rsidR="00150219" w:rsidRPr="00150219" w:rsidRDefault="00150219" w:rsidP="00150219">
            <w:pPr>
              <w:ind w:right="68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5.993.156,00</w:t>
            </w:r>
          </w:p>
        </w:tc>
      </w:tr>
      <w:tr w:rsidR="00150219" w:rsidRPr="00150219" w14:paraId="38683F03" w14:textId="77777777" w:rsidTr="00D24FDC">
        <w:tc>
          <w:tcPr>
            <w:tcW w:w="687" w:type="dxa"/>
            <w:vAlign w:val="center"/>
          </w:tcPr>
          <w:p w14:paraId="30763BFD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136" w:type="dxa"/>
          </w:tcPr>
          <w:p w14:paraId="42E82EEE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Mraz</w:t>
            </w:r>
          </w:p>
        </w:tc>
        <w:tc>
          <w:tcPr>
            <w:tcW w:w="2999" w:type="dxa"/>
          </w:tcPr>
          <w:p w14:paraId="605D2804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2014.</w:t>
            </w:r>
          </w:p>
        </w:tc>
        <w:tc>
          <w:tcPr>
            <w:tcW w:w="2238" w:type="dxa"/>
          </w:tcPr>
          <w:p w14:paraId="70D50D33" w14:textId="77777777" w:rsidR="00150219" w:rsidRPr="00150219" w:rsidRDefault="00150219" w:rsidP="00150219">
            <w:pPr>
              <w:ind w:right="68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hAnsi="Calibri" w:cs="Calibri"/>
              </w:rPr>
              <w:t>393.892,81</w:t>
            </w:r>
          </w:p>
        </w:tc>
      </w:tr>
      <w:tr w:rsidR="00150219" w:rsidRPr="00150219" w14:paraId="7DC3BEDA" w14:textId="77777777" w:rsidTr="00D24FDC">
        <w:tc>
          <w:tcPr>
            <w:tcW w:w="687" w:type="dxa"/>
            <w:vAlign w:val="center"/>
          </w:tcPr>
          <w:p w14:paraId="124615B5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136" w:type="dxa"/>
          </w:tcPr>
          <w:p w14:paraId="25BB7C66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Mraz</w:t>
            </w:r>
          </w:p>
        </w:tc>
        <w:tc>
          <w:tcPr>
            <w:tcW w:w="2999" w:type="dxa"/>
          </w:tcPr>
          <w:p w14:paraId="24A01F03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2017.</w:t>
            </w:r>
          </w:p>
        </w:tc>
        <w:tc>
          <w:tcPr>
            <w:tcW w:w="2238" w:type="dxa"/>
          </w:tcPr>
          <w:p w14:paraId="2DD27448" w14:textId="77777777" w:rsidR="00150219" w:rsidRPr="00150219" w:rsidRDefault="00150219" w:rsidP="00150219">
            <w:pPr>
              <w:ind w:right="68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485.199,81</w:t>
            </w:r>
          </w:p>
        </w:tc>
      </w:tr>
      <w:tr w:rsidR="00150219" w:rsidRPr="00150219" w14:paraId="40117D91" w14:textId="77777777" w:rsidTr="00D24FDC">
        <w:tc>
          <w:tcPr>
            <w:tcW w:w="687" w:type="dxa"/>
            <w:vAlign w:val="center"/>
          </w:tcPr>
          <w:p w14:paraId="597DA316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136" w:type="dxa"/>
          </w:tcPr>
          <w:p w14:paraId="43E6606E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Tuča</w:t>
            </w:r>
          </w:p>
        </w:tc>
        <w:tc>
          <w:tcPr>
            <w:tcW w:w="2999" w:type="dxa"/>
          </w:tcPr>
          <w:p w14:paraId="780E22D7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2019.</w:t>
            </w:r>
          </w:p>
        </w:tc>
        <w:tc>
          <w:tcPr>
            <w:tcW w:w="2238" w:type="dxa"/>
          </w:tcPr>
          <w:p w14:paraId="515B8BDD" w14:textId="77777777" w:rsidR="00150219" w:rsidRPr="00150219" w:rsidRDefault="00150219" w:rsidP="00150219">
            <w:pPr>
              <w:ind w:right="68"/>
              <w:jc w:val="right"/>
              <w:rPr>
                <w:rFonts w:ascii="Calibri" w:hAnsi="Calibri" w:cs="Calibri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1.036.111,91</w:t>
            </w:r>
          </w:p>
        </w:tc>
      </w:tr>
      <w:tr w:rsidR="00150219" w:rsidRPr="00150219" w14:paraId="5963A179" w14:textId="77777777" w:rsidTr="00D24FDC">
        <w:tc>
          <w:tcPr>
            <w:tcW w:w="687" w:type="dxa"/>
            <w:vAlign w:val="center"/>
          </w:tcPr>
          <w:p w14:paraId="7A0B0D2C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136" w:type="dxa"/>
          </w:tcPr>
          <w:p w14:paraId="15054799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Mraz</w:t>
            </w:r>
          </w:p>
        </w:tc>
        <w:tc>
          <w:tcPr>
            <w:tcW w:w="2999" w:type="dxa"/>
          </w:tcPr>
          <w:p w14:paraId="069880BE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2020.</w:t>
            </w:r>
          </w:p>
        </w:tc>
        <w:tc>
          <w:tcPr>
            <w:tcW w:w="2238" w:type="dxa"/>
          </w:tcPr>
          <w:p w14:paraId="238FA96E" w14:textId="77777777" w:rsidR="00150219" w:rsidRPr="00150219" w:rsidRDefault="00150219" w:rsidP="00150219">
            <w:pPr>
              <w:ind w:right="68"/>
              <w:jc w:val="right"/>
              <w:rPr>
                <w:rFonts w:ascii="Calibri" w:hAnsi="Calibri" w:cs="Calibri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1.775.500,10</w:t>
            </w:r>
          </w:p>
        </w:tc>
      </w:tr>
      <w:tr w:rsidR="00150219" w:rsidRPr="00150219" w14:paraId="4935DA27" w14:textId="77777777" w:rsidTr="00D24FDC">
        <w:tc>
          <w:tcPr>
            <w:tcW w:w="687" w:type="dxa"/>
            <w:vAlign w:val="center"/>
          </w:tcPr>
          <w:p w14:paraId="5E3687DB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136" w:type="dxa"/>
          </w:tcPr>
          <w:p w14:paraId="6D06C1C9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hAnsi="Calibri" w:cs="Calibri"/>
              </w:rPr>
              <w:t>Potres</w:t>
            </w:r>
          </w:p>
        </w:tc>
        <w:tc>
          <w:tcPr>
            <w:tcW w:w="2999" w:type="dxa"/>
          </w:tcPr>
          <w:p w14:paraId="37452512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hAnsi="Calibri" w:cs="Calibri"/>
              </w:rPr>
              <w:t>2021.</w:t>
            </w:r>
          </w:p>
        </w:tc>
        <w:tc>
          <w:tcPr>
            <w:tcW w:w="2238" w:type="dxa"/>
          </w:tcPr>
          <w:p w14:paraId="72ABF07D" w14:textId="77777777" w:rsidR="00150219" w:rsidRPr="00150219" w:rsidRDefault="00150219" w:rsidP="00150219">
            <w:pPr>
              <w:ind w:right="68"/>
              <w:jc w:val="right"/>
              <w:rPr>
                <w:rFonts w:ascii="Calibri" w:hAnsi="Calibri" w:cs="Calibri"/>
              </w:rPr>
            </w:pPr>
            <w:r w:rsidRPr="00150219">
              <w:rPr>
                <w:rFonts w:ascii="Calibri" w:hAnsi="Calibri" w:cs="Calibri"/>
              </w:rPr>
              <w:t>329.315,90</w:t>
            </w:r>
          </w:p>
        </w:tc>
      </w:tr>
      <w:tr w:rsidR="00150219" w:rsidRPr="00150219" w14:paraId="67332AE3" w14:textId="77777777" w:rsidTr="00D24FDC">
        <w:tc>
          <w:tcPr>
            <w:tcW w:w="687" w:type="dxa"/>
            <w:vAlign w:val="center"/>
          </w:tcPr>
          <w:p w14:paraId="31FEF5FE" w14:textId="77777777" w:rsidR="00150219" w:rsidRPr="00150219" w:rsidRDefault="00150219" w:rsidP="00150219">
            <w:pPr>
              <w:ind w:right="68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0219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136" w:type="dxa"/>
          </w:tcPr>
          <w:p w14:paraId="1D2FD35D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hAnsi="Calibri" w:cs="Calibri"/>
              </w:rPr>
              <w:t>Mraz</w:t>
            </w:r>
          </w:p>
        </w:tc>
        <w:tc>
          <w:tcPr>
            <w:tcW w:w="2999" w:type="dxa"/>
          </w:tcPr>
          <w:p w14:paraId="4ECC5234" w14:textId="77777777" w:rsidR="00150219" w:rsidRPr="00150219" w:rsidRDefault="00150219" w:rsidP="00150219">
            <w:pPr>
              <w:ind w:right="68"/>
              <w:jc w:val="center"/>
              <w:rPr>
                <w:rFonts w:ascii="Calibri" w:hAnsi="Calibri" w:cs="Calibri"/>
              </w:rPr>
            </w:pPr>
            <w:r w:rsidRPr="00150219">
              <w:rPr>
                <w:rFonts w:ascii="Calibri" w:hAnsi="Calibri" w:cs="Calibri"/>
              </w:rPr>
              <w:t>2021.</w:t>
            </w:r>
          </w:p>
        </w:tc>
        <w:tc>
          <w:tcPr>
            <w:tcW w:w="2238" w:type="dxa"/>
          </w:tcPr>
          <w:p w14:paraId="0F7A704E" w14:textId="77777777" w:rsidR="00150219" w:rsidRPr="00150219" w:rsidRDefault="00150219" w:rsidP="00150219">
            <w:pPr>
              <w:ind w:right="68"/>
              <w:jc w:val="right"/>
              <w:rPr>
                <w:rFonts w:ascii="Calibri" w:hAnsi="Calibri" w:cs="Calibri"/>
              </w:rPr>
            </w:pPr>
            <w:r w:rsidRPr="00150219">
              <w:rPr>
                <w:rFonts w:ascii="Calibri" w:hAnsi="Calibri" w:cs="Calibri"/>
              </w:rPr>
              <w:t>2.328.619,80</w:t>
            </w:r>
          </w:p>
        </w:tc>
      </w:tr>
    </w:tbl>
    <w:p w14:paraId="31013C67" w14:textId="77777777" w:rsidR="00150219" w:rsidRPr="00150219" w:rsidRDefault="00150219" w:rsidP="00150219">
      <w:pPr>
        <w:spacing w:line="276" w:lineRule="auto"/>
        <w:jc w:val="both"/>
        <w:rPr>
          <w:rFonts w:ascii="Calibri" w:eastAsia="Calibri" w:hAnsi="Calibri" w:cs="Calibri"/>
          <w:lang w:val="hr-HR"/>
        </w:rPr>
      </w:pPr>
      <w:bookmarkStart w:id="16" w:name="_Toc2082183"/>
      <w:bookmarkStart w:id="17" w:name="_Toc2589523"/>
      <w:bookmarkStart w:id="18" w:name="_Toc6480064"/>
      <w:bookmarkStart w:id="19" w:name="_Toc32500283"/>
    </w:p>
    <w:p w14:paraId="17771183" w14:textId="77777777" w:rsidR="00150219" w:rsidRPr="00150219" w:rsidRDefault="00150219" w:rsidP="00150219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r w:rsidRPr="00150219">
        <w:rPr>
          <w:rFonts w:ascii="Calibri" w:eastAsia="Times New Roman" w:hAnsi="Calibri" w:cs="Calibri"/>
          <w:lang w:val="hr-HR"/>
        </w:rPr>
        <w:t>VII.</w:t>
      </w:r>
    </w:p>
    <w:p w14:paraId="4DE79D1D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r w:rsidRPr="00150219">
        <w:rPr>
          <w:rFonts w:ascii="Calibri" w:eastAsia="Times New Roman" w:hAnsi="Calibri" w:cs="Calibri"/>
          <w:i/>
          <w:iCs/>
          <w:lang w:val="hr-HR"/>
        </w:rPr>
        <w:t>Mjere i suradnja s nadležnim tijelima</w:t>
      </w:r>
      <w:bookmarkEnd w:id="16"/>
      <w:bookmarkEnd w:id="17"/>
      <w:bookmarkEnd w:id="18"/>
      <w:bookmarkEnd w:id="19"/>
    </w:p>
    <w:p w14:paraId="49834929" w14:textId="77777777" w:rsidR="00150219" w:rsidRPr="00150219" w:rsidRDefault="00150219" w:rsidP="00150219">
      <w:pPr>
        <w:spacing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Nadležna tijela za provedbu mjera s ciljem djelomičnog ublažavanja šteta uslijed prirodnih nepogoda jesu: </w:t>
      </w:r>
    </w:p>
    <w:p w14:paraId="4C9A8BC0" w14:textId="77777777" w:rsidR="00150219" w:rsidRPr="00150219" w:rsidRDefault="00150219" w:rsidP="001502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Vlada Republike Hrvatske,</w:t>
      </w:r>
    </w:p>
    <w:p w14:paraId="5FF02721" w14:textId="77777777" w:rsidR="00150219" w:rsidRPr="00150219" w:rsidRDefault="00150219" w:rsidP="001502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Povjerenstva za procjenu šteta od elementarnih nepogoda,</w:t>
      </w:r>
    </w:p>
    <w:p w14:paraId="1B1A09C9" w14:textId="77777777" w:rsidR="00150219" w:rsidRPr="00150219" w:rsidRDefault="00150219" w:rsidP="001502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Nadležna ministarstava (za poljoprivredu, ribarstvo i akvakulturu, gospodarstvo, graditeljstvo i prostorno uređenje, zaštitu okoliša i energetiku, more, promet i infrastrukturu ...),</w:t>
      </w:r>
    </w:p>
    <w:p w14:paraId="50F633F8" w14:textId="77777777" w:rsidR="00150219" w:rsidRPr="00150219" w:rsidRDefault="00150219" w:rsidP="001502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Sisačko - moslavačka županija,</w:t>
      </w:r>
    </w:p>
    <w:p w14:paraId="103483AB" w14:textId="77777777" w:rsidR="00150219" w:rsidRPr="00150219" w:rsidRDefault="00150219" w:rsidP="0015021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Grad Novska.</w:t>
      </w:r>
    </w:p>
    <w:p w14:paraId="49ABF10A" w14:textId="77777777" w:rsidR="00150219" w:rsidRPr="00150219" w:rsidRDefault="00150219" w:rsidP="00150219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lang w:val="hr-HR"/>
        </w:rPr>
      </w:pPr>
    </w:p>
    <w:p w14:paraId="644AF621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Prilikom provedbi mjera s ciljem djelomičnog ublažavanja šteta od prirodnih nepogoda o kojima odlučuju spomenuta nadležna tijela, obavezno se uzima u obzir opseg nastalih šteta i utjecaj prirodnih nepogoda na stradanja stanovništva, ugrozu života i zdravlja ljudi, onemogućavanje nesmetanog funkcioniranja gospodarstva, a posebice ugroženih skupina na područjima zahvaćenom prirodnom nepogodom kao što je socijalni ili zdravstveni status. </w:t>
      </w:r>
    </w:p>
    <w:p w14:paraId="2AD1469A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Članove i broj članova Gradskog povjerenstva imenuje Gradsko vijeće na razdoblje od 4 godine i o njihovu imenovanju obavještava županijsko povjerenstvo. Gradsko povjerenstvo imenovano je Odlukom o imenovanju Predsjednika i članova Gradskog povjerenstva za procjenu šteta od prirodnih nepogoda (KLASA: 351-01/19-01/14, URBROJ: 2176/04-01-19-1, od 22. 11. 2019.god.).  </w:t>
      </w:r>
    </w:p>
    <w:p w14:paraId="398E4A07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lastRenderedPageBreak/>
        <w:t xml:space="preserve">Gradsko povjerenstvo za procjenu šteta od prirodnih nepogoda na području Grada Novska broji ukupno pet (5) članova. </w:t>
      </w:r>
    </w:p>
    <w:p w14:paraId="22BABE58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1"/>
        <w:rPr>
          <w:rFonts w:ascii="Calibri" w:eastAsia="Times New Roman" w:hAnsi="Calibri" w:cs="Calibri"/>
          <w:bCs/>
          <w:i/>
          <w:iCs/>
          <w:lang w:val="hr-HR"/>
        </w:rPr>
      </w:pPr>
      <w:bookmarkStart w:id="20" w:name="_Toc32500284"/>
      <w:r w:rsidRPr="00150219">
        <w:rPr>
          <w:rFonts w:ascii="Calibri" w:eastAsia="Times New Roman" w:hAnsi="Calibri" w:cs="Calibri"/>
          <w:bCs/>
          <w:i/>
          <w:iCs/>
          <w:lang w:val="hr-HR"/>
        </w:rPr>
        <w:t>Agrotehničke mjere</w:t>
      </w:r>
      <w:bookmarkEnd w:id="20"/>
    </w:p>
    <w:p w14:paraId="7124FA9A" w14:textId="77777777" w:rsidR="00150219" w:rsidRPr="00150219" w:rsidRDefault="00150219" w:rsidP="00150219">
      <w:pPr>
        <w:spacing w:after="225" w:line="276" w:lineRule="auto"/>
        <w:ind w:firstLine="708"/>
        <w:jc w:val="both"/>
        <w:textAlignment w:val="baseline"/>
        <w:rPr>
          <w:rFonts w:ascii="Calibri" w:eastAsia="Times New Roman" w:hAnsi="Calibri" w:cs="Calibri"/>
          <w:color w:val="231F20"/>
          <w:highlight w:val="yellow"/>
          <w:lang w:val="hr-HR" w:eastAsia="hr-HR"/>
        </w:rPr>
      </w:pPr>
      <w:r w:rsidRPr="00150219">
        <w:rPr>
          <w:rFonts w:ascii="Calibri" w:eastAsia="Times New Roman" w:hAnsi="Calibri" w:cs="Calibri"/>
          <w:color w:val="231F20"/>
          <w:lang w:val="hr-HR" w:eastAsia="hr-HR"/>
        </w:rPr>
        <w:t>Gradsko vijeće Grada Novska donijelo je Odluku o agrotehničkim mjerama za uređivanje i održavanje poljoprivrednih rudina na području Grada Novska (</w:t>
      </w:r>
      <w:r w:rsidRPr="00150219">
        <w:rPr>
          <w:rFonts w:ascii="Calibri" w:eastAsia="Times New Roman" w:hAnsi="Calibri" w:cs="Calibri"/>
          <w:lang w:val="hr-HR" w:eastAsia="hr-HR"/>
        </w:rPr>
        <w:t>KLASA: 320-01/19-01/1</w:t>
      </w:r>
      <w:r w:rsidRPr="00150219">
        <w:rPr>
          <w:rFonts w:ascii="Calibri" w:eastAsia="Times New Roman" w:hAnsi="Calibri" w:cs="Calibri"/>
          <w:color w:val="231F20"/>
          <w:lang w:val="hr-HR" w:eastAsia="hr-HR"/>
        </w:rPr>
        <w:t xml:space="preserve">, URBROJ: </w:t>
      </w:r>
      <w:r w:rsidRPr="00150219">
        <w:rPr>
          <w:rFonts w:ascii="Calibri" w:eastAsia="Times New Roman" w:hAnsi="Calibri" w:cs="Calibri"/>
          <w:lang w:val="hr-HR" w:eastAsia="hr-HR"/>
        </w:rPr>
        <w:t>2176/04-01-19-1</w:t>
      </w:r>
      <w:r w:rsidRPr="00150219">
        <w:rPr>
          <w:rFonts w:ascii="Calibri" w:eastAsia="Times New Roman" w:hAnsi="Calibri" w:cs="Calibri"/>
          <w:color w:val="231F20"/>
          <w:lang w:val="hr-HR" w:eastAsia="hr-HR"/>
        </w:rPr>
        <w:t xml:space="preserve">, od </w:t>
      </w:r>
      <w:r w:rsidRPr="00150219">
        <w:rPr>
          <w:rFonts w:ascii="Calibri" w:eastAsia="Times New Roman" w:hAnsi="Calibri" w:cs="Calibri"/>
          <w:lang w:val="hr-HR" w:eastAsia="hr-HR"/>
        </w:rPr>
        <w:t>24. travnja 2019. god</w:t>
      </w:r>
      <w:r w:rsidRPr="00150219">
        <w:rPr>
          <w:rFonts w:ascii="Calibri" w:eastAsia="Times New Roman" w:hAnsi="Calibri" w:cs="Calibri"/>
          <w:color w:val="231F20"/>
          <w:lang w:val="hr-HR" w:eastAsia="hr-HR"/>
        </w:rPr>
        <w:t xml:space="preserve">.). </w:t>
      </w:r>
    </w:p>
    <w:p w14:paraId="32AECE79" w14:textId="77777777" w:rsidR="00150219" w:rsidRPr="00150219" w:rsidRDefault="00150219" w:rsidP="00150219">
      <w:pPr>
        <w:keepNext/>
        <w:keepLines/>
        <w:spacing w:after="240" w:line="276" w:lineRule="auto"/>
        <w:jc w:val="center"/>
        <w:outlineLvl w:val="1"/>
        <w:rPr>
          <w:rFonts w:ascii="Calibri" w:eastAsia="Times New Roman" w:hAnsi="Calibri" w:cs="Calibri"/>
          <w:bCs/>
          <w:i/>
          <w:iCs/>
          <w:lang w:val="hr-HR" w:eastAsia="hr-HR"/>
        </w:rPr>
      </w:pPr>
      <w:bookmarkStart w:id="21" w:name="_Toc32500285"/>
      <w:r w:rsidRPr="00150219">
        <w:rPr>
          <w:rFonts w:ascii="Calibri" w:eastAsia="Times New Roman" w:hAnsi="Calibri" w:cs="Calibri"/>
          <w:bCs/>
          <w:i/>
          <w:iCs/>
          <w:lang w:val="hr-HR" w:eastAsia="hr-HR"/>
        </w:rPr>
        <w:t>Mjere civilne zaštite</w:t>
      </w:r>
      <w:bookmarkEnd w:id="21"/>
    </w:p>
    <w:p w14:paraId="7733BA6A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Gradonačelnik Grada Novska donio je Plan djelovanja civilne zaštite Grada Novska (KLASA: </w:t>
      </w:r>
      <w:r w:rsidRPr="00150219">
        <w:rPr>
          <w:rFonts w:ascii="Calibri" w:eastAsia="Times New Roman" w:hAnsi="Calibri" w:cs="Calibri"/>
          <w:lang w:val="hr-HR" w:eastAsia="hr-HR"/>
        </w:rPr>
        <w:t>320-01/19-01/1</w:t>
      </w:r>
      <w:r w:rsidRPr="00150219">
        <w:rPr>
          <w:rFonts w:ascii="Calibri" w:eastAsia="Calibri" w:hAnsi="Calibri" w:cs="Calibri"/>
          <w:lang w:val="hr-HR"/>
        </w:rPr>
        <w:t xml:space="preserve">, URBROJ: </w:t>
      </w:r>
      <w:r w:rsidRPr="00150219">
        <w:rPr>
          <w:rFonts w:ascii="Calibri" w:eastAsia="Times New Roman" w:hAnsi="Calibri" w:cs="Calibri"/>
          <w:lang w:val="hr-HR" w:eastAsia="hr-HR"/>
        </w:rPr>
        <w:t>2176/04-01-19-1</w:t>
      </w:r>
      <w:r w:rsidRPr="00150219">
        <w:rPr>
          <w:rFonts w:ascii="Calibri" w:eastAsia="Calibri" w:hAnsi="Calibri" w:cs="Calibri"/>
          <w:lang w:val="hr-HR"/>
        </w:rPr>
        <w:t xml:space="preserve">, od </w:t>
      </w:r>
      <w:r w:rsidRPr="00150219">
        <w:rPr>
          <w:rFonts w:ascii="Calibri" w:eastAsia="Times New Roman" w:hAnsi="Calibri" w:cs="Calibri"/>
          <w:lang w:val="hr-HR" w:eastAsia="hr-HR"/>
        </w:rPr>
        <w:t>24. travnja 2019</w:t>
      </w:r>
      <w:r w:rsidRPr="00150219">
        <w:rPr>
          <w:rFonts w:ascii="Calibri" w:eastAsia="Calibri" w:hAnsi="Calibri" w:cs="Calibri"/>
          <w:lang w:val="hr-HR"/>
        </w:rPr>
        <w:t xml:space="preserve">. god).  </w:t>
      </w:r>
    </w:p>
    <w:p w14:paraId="16837922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1"/>
        <w:rPr>
          <w:rFonts w:ascii="Calibri" w:eastAsia="Times New Roman" w:hAnsi="Calibri" w:cs="Calibri"/>
          <w:bCs/>
          <w:i/>
          <w:iCs/>
          <w:lang w:val="hr-HR"/>
        </w:rPr>
      </w:pPr>
      <w:bookmarkStart w:id="22" w:name="_Toc32500286"/>
      <w:r w:rsidRPr="00150219">
        <w:rPr>
          <w:rFonts w:ascii="Calibri" w:eastAsia="Times New Roman" w:hAnsi="Calibri" w:cs="Calibri"/>
          <w:bCs/>
          <w:i/>
          <w:iCs/>
          <w:lang w:val="hr-HR"/>
        </w:rPr>
        <w:t>Mjere zaštite od požara</w:t>
      </w:r>
      <w:bookmarkEnd w:id="22"/>
    </w:p>
    <w:p w14:paraId="4CCAD44F" w14:textId="77777777" w:rsidR="00150219" w:rsidRPr="00150219" w:rsidRDefault="00150219" w:rsidP="00150219">
      <w:pPr>
        <w:spacing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Zakonom o zaštiti od požara („Narodne novine“ broj 92/10) uređen je sustav zaštite od požara. U cilju zaštite od požara, Zakonom o zaštiti od požara („Narodne novine“ broj 92/10)  propisano je poduzimanje  organizacijskih, tehničkih i drugih mjera i radnji za:</w:t>
      </w:r>
    </w:p>
    <w:p w14:paraId="1C3FB511" w14:textId="77777777" w:rsidR="00150219" w:rsidRPr="00150219" w:rsidRDefault="00150219" w:rsidP="0015021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otklanjanje opasnosti od nastanka požara,</w:t>
      </w:r>
    </w:p>
    <w:p w14:paraId="531202E6" w14:textId="77777777" w:rsidR="00150219" w:rsidRPr="00150219" w:rsidRDefault="00150219" w:rsidP="0015021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rano otkrivanje, obavješćivanje te sprječavanje širenja i učinkovito gašenje požara,</w:t>
      </w:r>
    </w:p>
    <w:p w14:paraId="75061475" w14:textId="77777777" w:rsidR="00150219" w:rsidRPr="00150219" w:rsidRDefault="00150219" w:rsidP="0015021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sigurno spašavanje ljudi i životinja ugroženih požarom,</w:t>
      </w:r>
    </w:p>
    <w:p w14:paraId="054BC3B8" w14:textId="77777777" w:rsidR="00150219" w:rsidRPr="00150219" w:rsidRDefault="00150219" w:rsidP="0015021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sprječavanje i smanjenje štetnih posljedica požara,</w:t>
      </w:r>
    </w:p>
    <w:p w14:paraId="46A01D05" w14:textId="77777777" w:rsidR="00150219" w:rsidRPr="00150219" w:rsidRDefault="00150219" w:rsidP="0015021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utvrđivanje uzroka nastanka požara te otklanjanje njegovih posljedica.</w:t>
      </w:r>
    </w:p>
    <w:p w14:paraId="078624FB" w14:textId="77777777" w:rsidR="00150219" w:rsidRPr="00150219" w:rsidRDefault="00150219" w:rsidP="00150219">
      <w:pPr>
        <w:spacing w:after="200" w:line="276" w:lineRule="auto"/>
        <w:ind w:left="720"/>
        <w:contextualSpacing/>
        <w:rPr>
          <w:rFonts w:ascii="Calibri" w:eastAsia="Calibri" w:hAnsi="Calibri" w:cs="Calibri"/>
          <w:lang w:val="hr-HR"/>
        </w:rPr>
      </w:pPr>
    </w:p>
    <w:p w14:paraId="404574B2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Zaštitu od požara provode, osim fizičkih i pravnih osoba provode i udruge koje obavljaju vatrogasnu djelatnost i djelatnost civilne zaštite, Grad te Sisačko - moslavačka županija. Svaka fizička i pravna osoba odgovorna je za neprovođenje mjera zaštite od požara, izazivanje požara, kao i za posljedice koje iz toga nastanu. Dokumenti zaštite od požara na području Grada kojima se uređuju organizacija i mjere zaštite od požara su Plan zaštite od požara i Godišnji provedbeni plan unaprjeđenja zaštite od požara. Godišnji provedbeni plan unaprjeđenja zaštite od požara Grada donosi se na temelju Godišnjeg provedbenog plana unaprjeđenja zaštite od požara Sisačko - moslavačke županije. Gradsko vijeće dužno je najmanje jednom godišnje razmatrati Izvješće o stanju zaštite od požara na području Grada i stanju provedbe godišnjeg provedbenog plana unaprjeđenja zaštite od požara.</w:t>
      </w:r>
    </w:p>
    <w:p w14:paraId="439A9D64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1"/>
        <w:rPr>
          <w:rFonts w:ascii="Calibri" w:eastAsia="Times New Roman" w:hAnsi="Calibri" w:cs="Calibri"/>
          <w:bCs/>
          <w:i/>
          <w:iCs/>
          <w:lang w:val="hr-HR"/>
        </w:rPr>
      </w:pPr>
      <w:bookmarkStart w:id="23" w:name="_Toc32500287"/>
      <w:r w:rsidRPr="00150219">
        <w:rPr>
          <w:rFonts w:ascii="Calibri" w:eastAsia="Times New Roman" w:hAnsi="Calibri" w:cs="Calibri"/>
          <w:bCs/>
          <w:i/>
          <w:iCs/>
          <w:lang w:val="hr-HR"/>
        </w:rPr>
        <w:t>Mjere obrane od poplava</w:t>
      </w:r>
      <w:bookmarkEnd w:id="23"/>
    </w:p>
    <w:p w14:paraId="1D94DF2B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 xml:space="preserve">Operativno upravljanje rizicima od poplava i neposredna provedba mjera obrane od poplava utvrđeno je Državnim planom obrane od poplava („Narodne novine“ broj 84/10), kojeg donosi Vlada RH, Glavnim provedbenim planom obrane od poplava (ožujak 2018), kojeg donose Hrvatske vode. Svi tehnički i ostali elementi potrebni za upravljanje redovnom i izvanrednom obranom od poplava utvrđuju se Glavnim provedbenim planom obrane od poplava i provedbenim planovima obrane od </w:t>
      </w:r>
      <w:r w:rsidRPr="00150219">
        <w:rPr>
          <w:rFonts w:ascii="Calibri" w:eastAsia="Calibri" w:hAnsi="Calibri" w:cs="Calibri"/>
          <w:lang w:val="hr-HR"/>
        </w:rPr>
        <w:lastRenderedPageBreak/>
        <w:t>poplava branjenih područja. Navedeni planovi su javno dostupni na internetskim stranicama Hrvatskih voda. Državnim planom obrane od poplava uređuju se: teritorijalne jedinice za obranu od poplava,  stupnjevi obrane od poplava, mjere obrane od poplava (uključivo i preventivne mjere), nositelje obrane od poplava,  upravljanje obranom od poplava (s obvezama i pravima rukovoditelja obrane od poplava), sadržaj provedbenih planova obrane od poplava sustav za obavješćivanje i upozoravanje i sustav veza, mjere za obranu od leda na vodotocima. Obveze Državnog hidrometeorološkog zavoda su  prikupljanje i dostava podataka, prognoza i upozorenja o hidrometeorološkim pojavama od značenja za obranu od poplava,  upute za izradu izvještaja o provedenim mjerama obrane od poplava, kartografski prikaz granica branjenih područja.</w:t>
      </w:r>
    </w:p>
    <w:p w14:paraId="7342464A" w14:textId="77777777" w:rsidR="00150219" w:rsidRPr="00150219" w:rsidRDefault="00150219" w:rsidP="00150219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Calibri"/>
          <w:lang w:val="hr-HR"/>
        </w:rPr>
      </w:pPr>
      <w:bookmarkStart w:id="24" w:name="_Toc32500289"/>
      <w:r w:rsidRPr="00150219">
        <w:rPr>
          <w:rFonts w:ascii="Calibri" w:eastAsia="Times New Roman" w:hAnsi="Calibri" w:cs="Calibri"/>
          <w:lang w:val="hr-HR"/>
        </w:rPr>
        <w:t xml:space="preserve">VIII. </w:t>
      </w:r>
    </w:p>
    <w:p w14:paraId="508F84A3" w14:textId="77777777" w:rsidR="00150219" w:rsidRPr="00150219" w:rsidRDefault="00150219" w:rsidP="00150219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Calibri"/>
          <w:i/>
          <w:iCs/>
          <w:lang w:val="hr-HR"/>
        </w:rPr>
      </w:pPr>
      <w:r w:rsidRPr="00150219">
        <w:rPr>
          <w:rFonts w:ascii="Calibri" w:eastAsia="Times New Roman" w:hAnsi="Calibri" w:cs="Calibri"/>
          <w:i/>
          <w:iCs/>
          <w:lang w:val="hr-HR"/>
        </w:rPr>
        <w:t>Zaključak</w:t>
      </w:r>
      <w:bookmarkEnd w:id="24"/>
    </w:p>
    <w:p w14:paraId="2CE02F84" w14:textId="7E2C9BA5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lang w:val="hr-HR"/>
        </w:rPr>
      </w:pPr>
      <w:r w:rsidRPr="00150219">
        <w:rPr>
          <w:rFonts w:ascii="Calibri" w:eastAsia="Calibri" w:hAnsi="Calibri" w:cs="Calibri"/>
          <w:lang w:val="hr-HR"/>
        </w:rPr>
        <w:t>Gradsko vijeće Grada Novska donijelo je Odluku o donošenju Plana djelovanja u području prirodnih nepogoda za 2022.god. (KLASA: 351-01/21-01/11, URBROJ: 2176</w:t>
      </w:r>
      <w:r w:rsidR="00756B69">
        <w:rPr>
          <w:rFonts w:ascii="Calibri" w:eastAsia="Calibri" w:hAnsi="Calibri" w:cs="Calibri"/>
          <w:lang w:val="hr-HR"/>
        </w:rPr>
        <w:t>/</w:t>
      </w:r>
      <w:r w:rsidRPr="00150219">
        <w:rPr>
          <w:rFonts w:ascii="Calibri" w:eastAsia="Calibri" w:hAnsi="Calibri" w:cs="Calibri"/>
          <w:lang w:val="hr-HR"/>
        </w:rPr>
        <w:t>04-</w:t>
      </w:r>
      <w:r w:rsidR="00756B69">
        <w:rPr>
          <w:rFonts w:ascii="Calibri" w:eastAsia="Calibri" w:hAnsi="Calibri" w:cs="Calibri"/>
          <w:lang w:val="hr-HR"/>
        </w:rPr>
        <w:t>01-</w:t>
      </w:r>
      <w:r w:rsidRPr="00150219">
        <w:rPr>
          <w:rFonts w:ascii="Calibri" w:eastAsia="Calibri" w:hAnsi="Calibri" w:cs="Calibri"/>
          <w:lang w:val="hr-HR"/>
        </w:rPr>
        <w:t xml:space="preserve">21-1, od 17. studenog 2021. god.),  čime je ispunjena zakonska obaveza. </w:t>
      </w:r>
    </w:p>
    <w:p w14:paraId="2F8BADAD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highlight w:val="yellow"/>
          <w:lang w:val="hr-HR"/>
        </w:rPr>
      </w:pPr>
    </w:p>
    <w:p w14:paraId="1C928DB5" w14:textId="77777777" w:rsidR="00150219" w:rsidRPr="00150219" w:rsidRDefault="00150219" w:rsidP="00150219">
      <w:pPr>
        <w:rPr>
          <w:rFonts w:ascii="Calibri" w:eastAsia="MS Mincho" w:hAnsi="Calibri" w:cs="Times New Roman"/>
          <w:lang w:val="hr-HR"/>
        </w:rPr>
      </w:pPr>
      <w:r w:rsidRPr="00150219">
        <w:rPr>
          <w:rFonts w:ascii="Calibri" w:eastAsia="MS Mincho" w:hAnsi="Calibri" w:cs="Times New Roman"/>
          <w:lang w:val="hr-HR"/>
        </w:rPr>
        <w:t xml:space="preserve">KLASA:                                                          </w:t>
      </w:r>
    </w:p>
    <w:p w14:paraId="3D5313A6" w14:textId="77777777" w:rsidR="00150219" w:rsidRPr="00150219" w:rsidRDefault="00150219" w:rsidP="00150219">
      <w:pPr>
        <w:rPr>
          <w:rFonts w:ascii="Calibri" w:eastAsia="MS Mincho" w:hAnsi="Calibri" w:cs="Times New Roman"/>
          <w:lang w:val="hr-HR"/>
        </w:rPr>
      </w:pPr>
      <w:r w:rsidRPr="00150219">
        <w:rPr>
          <w:rFonts w:ascii="Calibri" w:eastAsia="MS Mincho" w:hAnsi="Calibri" w:cs="Times New Roman"/>
          <w:lang w:val="hr-HR"/>
        </w:rPr>
        <w:t xml:space="preserve">URBROJ: </w:t>
      </w:r>
    </w:p>
    <w:p w14:paraId="3725984E" w14:textId="77777777" w:rsidR="00150219" w:rsidRPr="00150219" w:rsidRDefault="00150219" w:rsidP="00150219">
      <w:pPr>
        <w:rPr>
          <w:rFonts w:ascii="Calibri" w:eastAsia="MS Mincho" w:hAnsi="Calibri" w:cs="Times New Roman"/>
          <w:lang w:val="hr-HR"/>
        </w:rPr>
      </w:pPr>
      <w:r w:rsidRPr="00150219">
        <w:rPr>
          <w:rFonts w:ascii="Calibri" w:eastAsia="MS Mincho" w:hAnsi="Calibri" w:cs="Times New Roman"/>
          <w:lang w:val="hr-HR"/>
        </w:rPr>
        <w:t>U Novskoj, 29. ožujka 2022.</w:t>
      </w:r>
    </w:p>
    <w:p w14:paraId="3850A960" w14:textId="77777777" w:rsidR="00150219" w:rsidRPr="00150219" w:rsidRDefault="00150219" w:rsidP="00150219">
      <w:pPr>
        <w:rPr>
          <w:rFonts w:ascii="Calibri" w:eastAsia="MS Mincho" w:hAnsi="Calibri" w:cs="Times New Roman"/>
          <w:lang w:val="hr-HR"/>
        </w:rPr>
      </w:pPr>
    </w:p>
    <w:p w14:paraId="097E94D4" w14:textId="77777777" w:rsidR="00150219" w:rsidRPr="00150219" w:rsidRDefault="00150219" w:rsidP="00150219">
      <w:pPr>
        <w:ind w:left="6480" w:firstLine="720"/>
        <w:rPr>
          <w:rFonts w:ascii="Calibri" w:eastAsia="MS Mincho" w:hAnsi="Calibri" w:cs="Times New Roman"/>
          <w:lang w:val="hr-HR"/>
        </w:rPr>
      </w:pPr>
      <w:r w:rsidRPr="00150219">
        <w:rPr>
          <w:rFonts w:ascii="Calibri" w:eastAsia="MS Mincho" w:hAnsi="Calibri" w:cs="Times New Roman"/>
          <w:lang w:val="hr-HR"/>
        </w:rPr>
        <w:t xml:space="preserve">     Gradonačelnik</w:t>
      </w:r>
    </w:p>
    <w:p w14:paraId="58205165" w14:textId="77777777" w:rsidR="00150219" w:rsidRPr="00150219" w:rsidRDefault="00150219" w:rsidP="00150219">
      <w:pPr>
        <w:rPr>
          <w:rFonts w:ascii="Calibri" w:eastAsia="MS Mincho" w:hAnsi="Calibri" w:cs="Times New Roman"/>
          <w:lang w:val="hr-HR"/>
        </w:rPr>
      </w:pP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  <w:t xml:space="preserve">      </w:t>
      </w:r>
    </w:p>
    <w:p w14:paraId="6ADF7B5C" w14:textId="77777777" w:rsidR="00150219" w:rsidRPr="00150219" w:rsidRDefault="00150219" w:rsidP="00150219">
      <w:pPr>
        <w:rPr>
          <w:rFonts w:ascii="Calibri" w:eastAsia="MS Mincho" w:hAnsi="Calibri" w:cs="Times New Roman"/>
          <w:lang w:val="hr-HR"/>
        </w:rPr>
      </w:pPr>
      <w:r w:rsidRPr="00150219">
        <w:rPr>
          <w:rFonts w:ascii="Calibri" w:eastAsia="MS Mincho" w:hAnsi="Calibri" w:cs="Times New Roman"/>
          <w:lang w:val="hr-HR"/>
        </w:rPr>
        <w:t xml:space="preserve"> </w:t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</w:r>
      <w:r w:rsidRPr="00150219">
        <w:rPr>
          <w:rFonts w:ascii="Calibri" w:eastAsia="MS Mincho" w:hAnsi="Calibri" w:cs="Times New Roman"/>
          <w:lang w:val="hr-HR"/>
        </w:rPr>
        <w:tab/>
        <w:t xml:space="preserve">                Marin Piletić, prof.</w:t>
      </w:r>
    </w:p>
    <w:p w14:paraId="1A8C794D" w14:textId="77777777" w:rsidR="00150219" w:rsidRPr="00150219" w:rsidRDefault="00150219" w:rsidP="00150219">
      <w:pPr>
        <w:spacing w:after="200" w:line="276" w:lineRule="auto"/>
        <w:ind w:firstLine="708"/>
        <w:jc w:val="both"/>
        <w:rPr>
          <w:rFonts w:ascii="Calibri" w:eastAsia="Calibri" w:hAnsi="Calibri" w:cs="Calibri"/>
          <w:highlight w:val="yellow"/>
          <w:lang w:val="hr-HR"/>
        </w:rPr>
      </w:pPr>
    </w:p>
    <w:p w14:paraId="1A1642A3" w14:textId="77777777" w:rsidR="00150219" w:rsidRPr="00150219" w:rsidRDefault="00150219" w:rsidP="00150219">
      <w:pPr>
        <w:spacing w:line="276" w:lineRule="auto"/>
        <w:ind w:left="4248" w:firstLine="708"/>
        <w:jc w:val="center"/>
        <w:rPr>
          <w:rFonts w:ascii="Calibri" w:eastAsia="Calibri" w:hAnsi="Calibri" w:cs="Calibri"/>
          <w:b/>
          <w:bCs/>
          <w:lang w:val="hr-HR"/>
        </w:rPr>
      </w:pPr>
      <w:r w:rsidRPr="00150219">
        <w:rPr>
          <w:rFonts w:ascii="Calibri" w:eastAsia="Calibri" w:hAnsi="Calibri" w:cs="Calibri"/>
          <w:b/>
          <w:bCs/>
          <w:lang w:val="hr-HR"/>
        </w:rPr>
        <w:tab/>
        <w:t xml:space="preserve"> </w:t>
      </w:r>
    </w:p>
    <w:p w14:paraId="63071B83" w14:textId="77777777" w:rsidR="00150219" w:rsidRPr="00150219" w:rsidRDefault="00150219" w:rsidP="00150219">
      <w:pPr>
        <w:tabs>
          <w:tab w:val="left" w:pos="7485"/>
          <w:tab w:val="right" w:pos="9746"/>
        </w:tabs>
        <w:spacing w:line="276" w:lineRule="auto"/>
        <w:rPr>
          <w:rFonts w:ascii="Calibri" w:eastAsia="Calibri" w:hAnsi="Calibri" w:cs="Calibri"/>
          <w:b/>
          <w:bCs/>
          <w:lang w:val="hr-HR"/>
        </w:rPr>
      </w:pPr>
      <w:r w:rsidRPr="00150219">
        <w:rPr>
          <w:rFonts w:ascii="Calibri" w:eastAsia="Calibri" w:hAnsi="Calibri" w:cs="Calibri"/>
          <w:b/>
          <w:bCs/>
          <w:lang w:val="hr-HR"/>
        </w:rPr>
        <w:tab/>
        <w:t xml:space="preserve">  </w:t>
      </w:r>
    </w:p>
    <w:p w14:paraId="282631EC" w14:textId="77777777" w:rsidR="008814B0" w:rsidRPr="00617D31" w:rsidRDefault="008814B0">
      <w:pPr>
        <w:rPr>
          <w:rFonts w:asciiTheme="majorHAnsi" w:hAnsiTheme="majorHAnsi"/>
        </w:rPr>
      </w:pPr>
    </w:p>
    <w:sectPr w:rsidR="008814B0" w:rsidRPr="00617D31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814B0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2326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C3A"/>
    <w:multiLevelType w:val="hybridMultilevel"/>
    <w:tmpl w:val="681C60F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4B24"/>
    <w:multiLevelType w:val="hybridMultilevel"/>
    <w:tmpl w:val="AE2A1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C69"/>
    <w:multiLevelType w:val="hybridMultilevel"/>
    <w:tmpl w:val="6F7C4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4BF"/>
    <w:multiLevelType w:val="hybridMultilevel"/>
    <w:tmpl w:val="85882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C0B"/>
    <w:multiLevelType w:val="hybridMultilevel"/>
    <w:tmpl w:val="1494B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40D02"/>
    <w:multiLevelType w:val="hybridMultilevel"/>
    <w:tmpl w:val="74767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11407E"/>
    <w:rsid w:val="00150219"/>
    <w:rsid w:val="0028344C"/>
    <w:rsid w:val="003E7DE5"/>
    <w:rsid w:val="00617D31"/>
    <w:rsid w:val="00756B69"/>
    <w:rsid w:val="008814B0"/>
    <w:rsid w:val="00D2326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21511B"/>
  <w14:defaultImageDpi w14:val="300"/>
  <w15:docId w15:val="{5C0056AC-EB6C-434E-9D70-3D396975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table" w:styleId="Reetkatablice">
    <w:name w:val="Table Grid"/>
    <w:basedOn w:val="Obinatablica"/>
    <w:uiPriority w:val="39"/>
    <w:rsid w:val="00150219"/>
    <w:rPr>
      <w:rFonts w:eastAsia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2F5AD-DCC3-0749-9DAD-5742B8B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Boženka Spahić</cp:lastModifiedBy>
  <cp:revision>3</cp:revision>
  <cp:lastPrinted>2019-12-03T10:40:00Z</cp:lastPrinted>
  <dcterms:created xsi:type="dcterms:W3CDTF">2022-03-21T07:45:00Z</dcterms:created>
  <dcterms:modified xsi:type="dcterms:W3CDTF">2022-03-21T07:50:00Z</dcterms:modified>
</cp:coreProperties>
</file>