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5C" w:rsidRPr="000903F8" w:rsidRDefault="005A26CB" w:rsidP="009A2503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903F8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:rsidR="000903F8" w:rsidRPr="009A2503" w:rsidRDefault="000903F8" w:rsidP="009A2503">
      <w:pPr>
        <w:pStyle w:val="Odlomakpopisa"/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</w:p>
    <w:p w:rsidR="005A26CB" w:rsidRPr="009A2503" w:rsidRDefault="005A26CB" w:rsidP="009A2503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9A2503">
        <w:rPr>
          <w:rFonts w:cstheme="minorHAnsi"/>
          <w:color w:val="000000" w:themeColor="text1"/>
          <w:sz w:val="24"/>
          <w:szCs w:val="24"/>
        </w:rPr>
        <w:t xml:space="preserve">Zakon o proračunu („Narodne novine“, broj </w:t>
      </w:r>
      <w:r w:rsidR="00CA7D61" w:rsidRPr="009A2503">
        <w:rPr>
          <w:rFonts w:cstheme="minorHAnsi"/>
          <w:color w:val="000000" w:themeColor="text1"/>
          <w:sz w:val="24"/>
          <w:szCs w:val="24"/>
        </w:rPr>
        <w:t>87/08, 136/12 i 15/</w:t>
      </w:r>
      <w:proofErr w:type="spellStart"/>
      <w:r w:rsidR="00CA7D61" w:rsidRPr="009A2503">
        <w:rPr>
          <w:rFonts w:cstheme="minorHAnsi"/>
          <w:color w:val="000000" w:themeColor="text1"/>
          <w:sz w:val="24"/>
          <w:szCs w:val="24"/>
        </w:rPr>
        <w:t>15</w:t>
      </w:r>
      <w:proofErr w:type="spellEnd"/>
      <w:r w:rsidR="00CA7D61" w:rsidRPr="009A2503">
        <w:rPr>
          <w:rFonts w:cstheme="minorHAnsi"/>
          <w:color w:val="000000" w:themeColor="text1"/>
          <w:sz w:val="24"/>
          <w:szCs w:val="24"/>
        </w:rPr>
        <w:t>)</w:t>
      </w:r>
    </w:p>
    <w:p w:rsidR="00CA7D61" w:rsidRDefault="00CA7D61" w:rsidP="009A2503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9A2503">
        <w:rPr>
          <w:rFonts w:cstheme="minorHAnsi"/>
          <w:color w:val="000000" w:themeColor="text1"/>
          <w:sz w:val="24"/>
          <w:szCs w:val="24"/>
        </w:rPr>
        <w:t>Pravilnik o postupku zaduživanja te davanja jamstava i suglasnosti jedinica lokalne i područne (regionalne) samouprave („Narodne novine, broj 55/09 i 139/10)</w:t>
      </w:r>
    </w:p>
    <w:p w:rsidR="008436E8" w:rsidRDefault="008436E8" w:rsidP="009A2503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Zakon o izvršavanju Državnog proračuna Republike Hrvatske za 2020. godinu („Narodne novine“, broj 117/19, 32/20, 42/20, 58/20 i 124/20)</w:t>
      </w:r>
    </w:p>
    <w:p w:rsidR="008436E8" w:rsidRPr="009A2503" w:rsidRDefault="008436E8" w:rsidP="009A2503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Naputak o načinu isplate beskamatnog zajma jedinicama lokalne i područne (regionalne) samouprave, Hrvatskom zavodu za mirovinsko osiguranje </w:t>
      </w:r>
      <w:r w:rsidR="003F4431">
        <w:rPr>
          <w:rFonts w:cstheme="minorHAnsi"/>
          <w:color w:val="000000" w:themeColor="text1"/>
          <w:sz w:val="24"/>
          <w:szCs w:val="24"/>
        </w:rPr>
        <w:t>i Hrvatskom zavodu za zdravstveno osiguranje („Narodne novine“, broj 46/20, 130/20 i 5/21)</w:t>
      </w:r>
    </w:p>
    <w:p w:rsidR="00CA7D61" w:rsidRPr="009A2503" w:rsidRDefault="00CA7D61" w:rsidP="00CA7D6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CA7D61" w:rsidRPr="009A2503" w:rsidRDefault="008D2AD5" w:rsidP="00CA7D61">
      <w:pPr>
        <w:spacing w:after="0" w:line="240" w:lineRule="auto"/>
        <w:jc w:val="both"/>
        <w:rPr>
          <w:rFonts w:cstheme="minorHAnsi"/>
          <w:b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ab/>
      </w:r>
      <w:r w:rsidR="00CA7D61" w:rsidRPr="009A2503">
        <w:rPr>
          <w:rFonts w:cstheme="minorHAnsi"/>
          <w:color w:val="232323"/>
          <w:sz w:val="24"/>
          <w:szCs w:val="24"/>
          <w:shd w:val="clear" w:color="auto" w:fill="FFFFFF"/>
        </w:rPr>
        <w:t>Jedinica lokalne i područne (regionalne) samouprave može se zaduživati uzimanjem kredita, zajmova i izdavanjem vrijednosnih papira. Ukupna </w:t>
      </w:r>
      <w:r w:rsidR="00CA7D61" w:rsidRPr="009A2503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godišnja obveza</w:t>
      </w:r>
      <w:r w:rsidR="00CA7D61" w:rsidRPr="009A2503">
        <w:rPr>
          <w:rStyle w:val="Naglaeno"/>
          <w:rFonts w:cstheme="minorHAnsi"/>
          <w:color w:val="232323"/>
          <w:sz w:val="24"/>
          <w:szCs w:val="24"/>
          <w:shd w:val="clear" w:color="auto" w:fill="FFFFFF"/>
        </w:rPr>
        <w:t> </w:t>
      </w:r>
      <w:r w:rsidR="00CA7D61" w:rsidRPr="009A2503">
        <w:rPr>
          <w:rFonts w:cstheme="minorHAnsi"/>
          <w:color w:val="232323"/>
          <w:sz w:val="24"/>
          <w:szCs w:val="24"/>
          <w:shd w:val="clear" w:color="auto" w:fill="FFFFFF"/>
        </w:rPr>
        <w:t>jedinice lokalne i područne (regionalne) samouprave može iznositi </w:t>
      </w:r>
      <w:r w:rsidR="00CA7D61" w:rsidRPr="009A2503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najviše do 20 %</w:t>
      </w:r>
      <w:r w:rsidR="00CA7D61" w:rsidRPr="009A2503">
        <w:rPr>
          <w:rFonts w:cstheme="minorHAnsi"/>
          <w:color w:val="232323"/>
          <w:sz w:val="24"/>
          <w:szCs w:val="24"/>
          <w:shd w:val="clear" w:color="auto" w:fill="FFFFFF"/>
        </w:rPr>
        <w:t> ostvarenih </w:t>
      </w:r>
      <w:r w:rsidR="00CA7D61" w:rsidRPr="009A2503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 xml:space="preserve">prihoda </w:t>
      </w:r>
      <w:r w:rsidR="00CA7D61" w:rsidRPr="009A2503">
        <w:rPr>
          <w:rFonts w:cstheme="minorHAnsi"/>
          <w:color w:val="232323"/>
          <w:sz w:val="24"/>
          <w:szCs w:val="24"/>
          <w:shd w:val="clear" w:color="auto" w:fill="FFFFFF"/>
        </w:rPr>
        <w:t>u godini koja prethodi godini u kojoj se zadužuje. Navedeno ograničenje </w:t>
      </w:r>
      <w:r w:rsidR="00CA7D61" w:rsidRPr="009A2503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ne odnosi se na projekte</w:t>
      </w:r>
      <w:r w:rsidR="00CA7D61"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 koji se sufinanciraju iz </w:t>
      </w:r>
      <w:proofErr w:type="spellStart"/>
      <w:r w:rsidR="00CA7D61" w:rsidRPr="009A2503">
        <w:rPr>
          <w:rFonts w:cstheme="minorHAnsi"/>
          <w:color w:val="232323"/>
          <w:sz w:val="24"/>
          <w:szCs w:val="24"/>
          <w:shd w:val="clear" w:color="auto" w:fill="FFFFFF"/>
        </w:rPr>
        <w:t>pretpristupnih</w:t>
      </w:r>
      <w:proofErr w:type="spellEnd"/>
      <w:r w:rsidR="00CA7D61"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 programa i fondova </w:t>
      </w:r>
      <w:r w:rsidR="00CA7D61" w:rsidRPr="009A2503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Europske unije</w:t>
      </w:r>
      <w:r w:rsidR="00CA7D61" w:rsidRPr="009A2503">
        <w:rPr>
          <w:rFonts w:cstheme="minorHAnsi"/>
          <w:color w:val="232323"/>
          <w:sz w:val="24"/>
          <w:szCs w:val="24"/>
          <w:shd w:val="clear" w:color="auto" w:fill="FFFFFF"/>
        </w:rPr>
        <w:t> i na projekte iz područja unapređenja </w:t>
      </w:r>
      <w:r w:rsidR="00CA7D61" w:rsidRPr="009A2503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energetske učinkovitosti</w:t>
      </w:r>
      <w:r w:rsidR="00CA7D61" w:rsidRPr="009A2503">
        <w:rPr>
          <w:rFonts w:cstheme="minorHAnsi"/>
          <w:b/>
          <w:color w:val="232323"/>
          <w:sz w:val="24"/>
          <w:szCs w:val="24"/>
          <w:shd w:val="clear" w:color="auto" w:fill="FFFFFF"/>
        </w:rPr>
        <w:t>.</w:t>
      </w:r>
    </w:p>
    <w:p w:rsidR="00E75BA1" w:rsidRDefault="008D2AD5" w:rsidP="00CA7D61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ab/>
      </w:r>
      <w:r w:rsidR="00CA7D61" w:rsidRPr="009A2503">
        <w:rPr>
          <w:rFonts w:cstheme="minorHAnsi"/>
          <w:color w:val="232323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 w:rsidR="00CD1045">
        <w:rPr>
          <w:rFonts w:cstheme="minorHAnsi"/>
          <w:color w:val="232323"/>
          <w:sz w:val="24"/>
          <w:szCs w:val="24"/>
          <w:shd w:val="clear" w:color="auto" w:fill="FFFFFF"/>
        </w:rPr>
        <w:t xml:space="preserve"> 24/13, </w:t>
      </w:r>
      <w:r w:rsidR="00980CCB" w:rsidRPr="009A2503">
        <w:rPr>
          <w:rFonts w:cstheme="minorHAnsi"/>
          <w:color w:val="232323"/>
          <w:sz w:val="24"/>
          <w:szCs w:val="24"/>
          <w:shd w:val="clear" w:color="auto" w:fill="FFFFFF"/>
        </w:rPr>
        <w:t>102/17</w:t>
      </w:r>
      <w:r w:rsidR="00CD1045">
        <w:rPr>
          <w:rFonts w:cstheme="minorHAnsi"/>
          <w:color w:val="232323"/>
          <w:sz w:val="24"/>
          <w:szCs w:val="24"/>
          <w:shd w:val="clear" w:color="auto" w:fill="FFFFFF"/>
        </w:rPr>
        <w:t xml:space="preserve"> i 01/20</w:t>
      </w:r>
      <w:r w:rsidR="00CA7D61" w:rsidRPr="009A2503">
        <w:rPr>
          <w:rFonts w:cstheme="minorHAnsi"/>
          <w:color w:val="232323"/>
          <w:sz w:val="24"/>
          <w:szCs w:val="24"/>
          <w:shd w:val="clear" w:color="auto" w:fill="FFFFFF"/>
        </w:rPr>
        <w:t>), izvještaj o zaduživanju na domaćem i stranom tržištu novca i kapitala daje pregled zaduživanja u izvještajnom razdoblju po instrumentima zaduženja, valutnoj, kamatnoj i ročnoj strukturi.</w:t>
      </w:r>
    </w:p>
    <w:p w:rsidR="0024301A" w:rsidRPr="0024301A" w:rsidRDefault="008D2AD5" w:rsidP="0024301A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ab/>
      </w:r>
      <w:r w:rsidR="00B631BA">
        <w:rPr>
          <w:rFonts w:cstheme="minorHAnsi"/>
          <w:color w:val="232323"/>
          <w:sz w:val="24"/>
          <w:szCs w:val="24"/>
          <w:shd w:val="clear" w:color="auto" w:fill="FFFFFF"/>
        </w:rPr>
        <w:t>Postojeći dugoročni tuzemni kredit u otplati odnosi se na kreditno zaduženje</w:t>
      </w:r>
      <w:r w:rsidR="00B631BA"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 Grada Novske kod Privredne banke Zagreb d.d. za financiranje kapitalnih projekata izgradnje spojne ceste – obilaznica D 47 – Tina Ujevića i izgradnje pristupne infrastrukture do Poduzetničke zone Novska na iznos od 11.000.000,00 kn</w:t>
      </w:r>
      <w:r w:rsidR="00C90FF0">
        <w:rPr>
          <w:rFonts w:cstheme="minorHAnsi"/>
          <w:color w:val="232323"/>
          <w:sz w:val="24"/>
          <w:szCs w:val="24"/>
          <w:shd w:val="clear" w:color="auto" w:fill="FFFFFF"/>
        </w:rPr>
        <w:t xml:space="preserve"> (Broj ugovora/partije: 5110153323)</w:t>
      </w:r>
      <w:r w:rsidR="00B631BA"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 s valutnom klauzulom u eurima, rok otplate deset godina bez počeka.</w:t>
      </w:r>
      <w:r w:rsidR="00B631BA">
        <w:rPr>
          <w:rFonts w:cstheme="minorHAnsi"/>
          <w:color w:val="232323"/>
          <w:sz w:val="24"/>
          <w:szCs w:val="24"/>
          <w:shd w:val="clear" w:color="auto" w:fill="FFFFFF"/>
        </w:rPr>
        <w:t xml:space="preserve"> Navedeno kreditno zaduženje odobrilo je Gradsko vijeće Grada Novske </w:t>
      </w:r>
      <w:r w:rsidR="00B631BA"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  <w:r w:rsidR="00B631B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Na iskorišteni iznos kredita (1.427.965,36 EUR) obračunava se redovna godišnja fiksna kamatna stopa u visini 3,69 %. Naplata glavnice i redovne kamate vrši se tromjesečno na zadnji dan svakog t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romjesečja, i to počevši od 31.12.</w:t>
      </w:r>
      <w:r w:rsidR="00B631B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2013. godine koji je definiran kao datum prijenosa kredita u otplatu 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Dodatkom II Ugovora od 10.09.</w:t>
      </w:r>
      <w:r w:rsidR="00B631B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2013. godine. Prema otplatnom planu dugoročnog tuzemnog kredita otplata kredita započela je s 1.1.2014. i trajat će do 31.12.2023. godine. Navedeno kreditno zaduženje odobrilo je Gradsko vijeće Grada Novske na sjednici održanoj 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05.07.</w:t>
      </w:r>
      <w:r w:rsidR="00B631B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2011. godine („Službeni vjesnik“, broj 29/11).</w:t>
      </w:r>
    </w:p>
    <w:p w:rsidR="00167A56" w:rsidRDefault="008D2AD5" w:rsidP="00167A5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="00B631B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Na 20. sjednici održanoj 30.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05.</w:t>
      </w:r>
      <w:r w:rsidR="00B631B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2019. godine Gradsko vijeće Grada Novske donijelo je Odluku o kreditnom zaduženju</w:t>
      </w:r>
      <w:r w:rsidR="00276A94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(„Službeni vjesnik“,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broj 30/19)</w:t>
      </w:r>
      <w:r w:rsidR="00B631B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podizanjem dugoročnog tuzemnog kredita za financiranje kapitalnog projekta „</w:t>
      </w:r>
      <w:proofErr w:type="spellStart"/>
      <w:r w:rsidR="00B631B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Klaster</w:t>
      </w:r>
      <w:proofErr w:type="spellEnd"/>
      <w:r w:rsidR="00B631B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kulture na temeljima kulturne baštine povijesne jezgre Novske“</w:t>
      </w:r>
      <w:r w:rsidR="00276A94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kod Hrvatske poštanske banke d.d. na iznos od 25.000.000,00 kn u</w:t>
      </w:r>
      <w:r w:rsidR="0024301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z fiksnu nominalnu kamatnu stopu od 1,50 % na rok otplate 10 godina bez počeka u jednakim mjesečnim ratama </w:t>
      </w:r>
      <w:r w:rsidR="0024301A" w:rsidRPr="0024301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i jednokratnu naknadu za obradu zahtjeva u visini 0,30 % na iznos odobrenog kredita.</w:t>
      </w:r>
      <w:r w:rsidR="0024301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Kredit će se koristiti sukcesivno na temelju dokumentacije od strane korisnika kredita, i to isplatom na račun dobavljača. </w:t>
      </w:r>
      <w:r w:rsid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Vlada Republike Hrvatske je na 176. sjednici održanoj 29.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0</w:t>
      </w:r>
      <w:r w:rsid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8.2019. godine donijela Odluku o davanju suglasnosti Gradu za zaduženje kod Hrvatske poštanske banke d.d., Zagreb.</w:t>
      </w:r>
      <w:r w:rsidR="00167A5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U izvještajnom razdoblju od 1. siječnja do 31. prosinca 2020. godine nije bilo korištenja kreditnih sredstava za navedeni kapitalni projekt.</w:t>
      </w:r>
    </w:p>
    <w:p w:rsidR="00E75BA1" w:rsidRDefault="00E75BA1" w:rsidP="00CA7D6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294575" w:rsidRDefault="00E75BA1" w:rsidP="00CA7D6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ab/>
      </w:r>
      <w:r w:rsidR="00C06E8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Na 22. sjednici održanoj 23. kolovoza 2019. godine Gradsko vijeće Grada Novske donijelo je Odluku u kratkoročnom kreditnom zaduženju Grada Novske („Službeni vjesnik“, broj 53/19), kod kreditora Privredne banke Zagreb d.d. s namjenom dopuštenog prekoračenja po transakcijskom računu do iznosa od 7.000.000,00 kn. Na iskorišteni iznos kredita, počevši od prvog dana korištenja kredita obračunava se redovna kamata po stopi u visini prinosa na trezorske zapise Ministarstva financija RH na 182 dana uvećano za kamatnu maržu od 1,20 %, godišnje, promjenjiva. Obračun i naplata kamate vrši se mjesečno na zadnji dan svakog mjeseca, odnosno o roku dospijeća kredita. Naknada za obradu zahtjeva </w:t>
      </w:r>
      <w:r w:rsidR="007004E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iznosi </w:t>
      </w:r>
      <w:r w:rsidR="00C06E83">
        <w:rPr>
          <w:rFonts w:cstheme="minorHAnsi"/>
          <w:color w:val="000000" w:themeColor="text1"/>
          <w:sz w:val="24"/>
          <w:szCs w:val="24"/>
          <w:shd w:val="clear" w:color="auto" w:fill="FFFFFF"/>
        </w:rPr>
        <w:t>0,30 % od iznosa kredita, jednokratno unaprijed.</w:t>
      </w:r>
      <w:r w:rsidR="00576B4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Rok </w:t>
      </w:r>
      <w:r w:rsidR="00D161B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otplate ovog okvirnog kredita je do 03.09.2020. godine. Iskorišteni iznos dopuštenog prekoračenja po transakcijskom računu Grada Novske na dan 31.12.2019. godine </w:t>
      </w:r>
      <w:r w:rsidR="0029457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iznosio je 4.626.626,05 kn. Navedeni iznos okvirnog kratkoročnog kredita (prekoračenja) vraćen je tijekom prvog polugodišta </w:t>
      </w:r>
      <w:r w:rsidR="00BA2B2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2020. </w:t>
      </w:r>
      <w:r w:rsidR="0029457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godine. Na iskorišteni iznos dopuštenog prekoračenja u razdoblju od siječnja do svibnja </w:t>
      </w:r>
      <w:r w:rsidR="00BA2B2F">
        <w:rPr>
          <w:rFonts w:cstheme="minorHAnsi"/>
          <w:color w:val="000000" w:themeColor="text1"/>
          <w:sz w:val="24"/>
          <w:szCs w:val="24"/>
          <w:shd w:val="clear" w:color="auto" w:fill="FFFFFF"/>
        </w:rPr>
        <w:t>2020.</w:t>
      </w:r>
      <w:bookmarkStart w:id="0" w:name="_GoBack"/>
      <w:bookmarkEnd w:id="0"/>
      <w:r w:rsidR="0029457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563C">
        <w:rPr>
          <w:rFonts w:cstheme="minorHAnsi"/>
          <w:color w:val="000000" w:themeColor="text1"/>
          <w:sz w:val="24"/>
          <w:szCs w:val="24"/>
          <w:shd w:val="clear" w:color="auto" w:fill="FFFFFF"/>
        </w:rPr>
        <w:t>godine obračunate su i podmiren</w:t>
      </w:r>
      <w:r w:rsidR="00294575">
        <w:rPr>
          <w:rFonts w:cstheme="minorHAnsi"/>
          <w:color w:val="000000" w:themeColor="text1"/>
          <w:sz w:val="24"/>
          <w:szCs w:val="24"/>
          <w:shd w:val="clear" w:color="auto" w:fill="FFFFFF"/>
        </w:rPr>
        <w:t>e redovne kamate u iznosu od 14.064,35 kn.</w:t>
      </w:r>
    </w:p>
    <w:p w:rsidR="00C06E83" w:rsidRDefault="007C0C02" w:rsidP="00CA7D6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  <w:t xml:space="preserve">Beskamatni zajam jedinicama lokalne i područne (regionalne) samouprave omogućen je zbog potrebe za ublažavanje ekonomskih posljedica uzrokovanih epidemijom </w:t>
      </w:r>
      <w:proofErr w:type="spellStart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koronavirusa</w:t>
      </w:r>
      <w:proofErr w:type="spellEnd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 zadržavanja održivosti financiranja na cijelom području Republike Hrvatske. Naime, na prihode proračuna jedinica lokalne i područne (regionalne) samouprave najznačajniji utjecaj imala je mjera iz seta ekonomskih mjera Vlade RH za pomoć gospodarstvu, kojom je gospodarstvenicima omogućena odgoda plaćanja i/ili obročna otplata te oslobođenje od plaćanja poreza i prireza na dohodak, sukladno posebnom propisu kojim se uređuje opći porezni postupak. </w:t>
      </w:r>
      <w:r w:rsidR="00B3681C">
        <w:rPr>
          <w:rFonts w:cstheme="minorHAnsi"/>
          <w:color w:val="000000" w:themeColor="text1"/>
          <w:sz w:val="24"/>
          <w:szCs w:val="24"/>
          <w:shd w:val="clear" w:color="auto" w:fill="FFFFFF"/>
        </w:rPr>
        <w:t>Izmjenama i dopunama Zakona o izvršavanju Državnog proračuna Republike Hrvatske za 2020. godinu iz travnja 2020. godine utvrđena je pravna osnova za isplatu sredstava beskamatnog zajma, radi premošćivanja situacije nastale zbog različite dinamike priljeva sredstava i dospij</w:t>
      </w:r>
      <w:r w:rsidR="0020169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eća obveza tijekom razdoblja </w:t>
      </w:r>
      <w:r w:rsidR="00B3681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trajanja epidemije </w:t>
      </w:r>
      <w:proofErr w:type="spellStart"/>
      <w:r w:rsidR="00B3681C">
        <w:rPr>
          <w:rFonts w:cstheme="minorHAnsi"/>
          <w:color w:val="000000" w:themeColor="text1"/>
          <w:sz w:val="24"/>
          <w:szCs w:val="24"/>
          <w:shd w:val="clear" w:color="auto" w:fill="FFFFFF"/>
        </w:rPr>
        <w:t>koronavirusa</w:t>
      </w:r>
      <w:proofErr w:type="spellEnd"/>
      <w:r w:rsidR="00B3681C">
        <w:rPr>
          <w:rFonts w:cstheme="minorHAnsi"/>
          <w:color w:val="000000" w:themeColor="text1"/>
          <w:sz w:val="24"/>
          <w:szCs w:val="24"/>
          <w:shd w:val="clear" w:color="auto" w:fill="FFFFFF"/>
        </w:rPr>
        <w:t>, jedinicama lokalne i područne (regionalne) samouprave, Hrvatskom zavodu za zdravstveno osiguranje i Hrvatskom zavodu za mirovinsko osiguranje, a najviše do visine poreza na dohodak, prireza i doprinosa, čijeg je plaćanja porezni obveznik oslobođen, odnosno čije je plaćanje odgođeno i/ili je odobrena obročna otplata, kao i do visine izvršenog povrata preplaćenog poreza na dohodak u provedbi posebnog postupka. Grad Novska je podnio Zahtjev za isplatu sredstava beskamatnog zajma Ministarstvu financija RH</w:t>
      </w:r>
      <w:r w:rsidR="007D6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te je po osnovi beskamatnog zajma Gradu Novska isplaćeno 3.900.931,51 kn. Na dan 31. prosinca 2020. godine </w:t>
      </w:r>
      <w:r w:rsidR="0020169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obveza za beskamatni zajam po osnovi poreza na dohodak i prireza porezu na dohodak čije je plaćanje odgođeno i/ili je odobrena obročna otplata iznosi 891.938,65 kn, a obveza za beskamatni zajam do visine izvršenog povrata po godišnjem obračunu poreza na dohodak 1.927.962,36 kn. </w:t>
      </w:r>
    </w:p>
    <w:p w:rsidR="0020169E" w:rsidRDefault="007D601A" w:rsidP="00CA7D6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="00B3681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Povrat dijela sredstava isplaćenog beskamatnog zajma na ime poreza na dohodak, prireza porezu na dohodak i doprinosa čije je plaćanje odgođeno i/ili je odobrena obročna otplata, vršit će se na račun državnog proračuna ustezanjem budućih uplata poreznog obveznika na ime odgođene/reprogramirane obveze. JLP(R)S neće primati te uplate, niti će otplaćivati anuitete, već će obustave provoditi Financijska agencija d.d. </w:t>
      </w:r>
      <w:r w:rsidR="0020169E">
        <w:rPr>
          <w:rFonts w:cstheme="minorHAnsi"/>
          <w:color w:val="000000" w:themeColor="text1"/>
          <w:sz w:val="24"/>
          <w:szCs w:val="24"/>
          <w:shd w:val="clear" w:color="auto" w:fill="FFFFFF"/>
        </w:rPr>
        <w:t>Po ovoj osnovi u 2020. godini vraćeno je 1.081.030,50 kn beskamatnog zajma.</w:t>
      </w:r>
    </w:p>
    <w:p w:rsidR="00B3681C" w:rsidRDefault="0020169E" w:rsidP="00CA7D6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="00B3681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Povrat dijela isplaćenog beskamatnog zajma </w:t>
      </w:r>
      <w:r w:rsidR="007D601A">
        <w:rPr>
          <w:rFonts w:cstheme="minorHAnsi"/>
          <w:color w:val="000000" w:themeColor="text1"/>
          <w:sz w:val="24"/>
          <w:szCs w:val="24"/>
          <w:shd w:val="clear" w:color="auto" w:fill="FFFFFF"/>
        </w:rPr>
        <w:t>u visini povrata poreza na dohodak temeljem utvrđenog godišnjeg obračuna, JLP(R)S je u obvezi izvršiti na račun državnog proračuna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najduže u roku od godinu dana, odnosno tijekom 2021. godine.</w:t>
      </w:r>
    </w:p>
    <w:p w:rsidR="001227B2" w:rsidRDefault="001227B2" w:rsidP="00CA7D6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1227B2" w:rsidRDefault="001227B2" w:rsidP="00CA7D6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1227B2" w:rsidRDefault="001227B2" w:rsidP="001227B2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ab/>
        <w:t>Na 33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. sjed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nici održanoj 12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11.2020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. godine Gradsko vijeće Grada Novske donijelo je Odluku o kreditnom zaduženju („Službeni vjesnik“,</w:t>
      </w:r>
      <w:r w:rsidR="005D477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broj 74/20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)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podizanjem dugoročnog tuzemnog kredita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za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kupnju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poslovne zgrade u </w:t>
      </w:r>
      <w:proofErr w:type="spellStart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Novskoj</w:t>
      </w:r>
      <w:proofErr w:type="spellEnd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kod Hrvatske poštanske banke d.d., na iznos glavnice do 7.800.000,00 kn, uz fiksnu nominalnu kamatnu stopu od 1,35 % na rok otplate deset godina u jednakim mjesečnim ratama s počekom od 12 mjeseci od korištenja kredita. Kredit će se koristiti jednokratno isplatom na račun prodavatelja. </w:t>
      </w:r>
      <w:r w:rsidR="005D477B">
        <w:rPr>
          <w:rFonts w:cstheme="minorHAnsi"/>
          <w:color w:val="000000" w:themeColor="text1"/>
          <w:sz w:val="24"/>
          <w:szCs w:val="24"/>
          <w:shd w:val="clear" w:color="auto" w:fill="FFFFFF"/>
        </w:rPr>
        <w:t>Jednokratna naknada za obradu zahtjeva iznosi 0,30 % od iznosa odobrenog kredita.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Vlada Republike Hrvatske</w:t>
      </w:r>
      <w:r w:rsidR="005D477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je na sjednici održanoj 30.12.2020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. godine donijela Odluku o</w:t>
      </w:r>
      <w:r w:rsidR="005D477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davanju suglasnosti Gradu za zaduženje kod Hrvatske poštanske banke d.d., Zagreb.</w:t>
      </w:r>
      <w:r w:rsidR="008F368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Kredit je realiziran u ožujku 2021. </w:t>
      </w:r>
      <w:r w:rsidR="00F122BF">
        <w:rPr>
          <w:rFonts w:cstheme="minorHAnsi"/>
          <w:color w:val="000000" w:themeColor="text1"/>
          <w:sz w:val="24"/>
          <w:szCs w:val="24"/>
          <w:shd w:val="clear" w:color="auto" w:fill="FFFFFF"/>
        </w:rPr>
        <w:t>g</w:t>
      </w:r>
      <w:r w:rsidR="008F3683">
        <w:rPr>
          <w:rFonts w:cstheme="minorHAnsi"/>
          <w:color w:val="000000" w:themeColor="text1"/>
          <w:sz w:val="24"/>
          <w:szCs w:val="24"/>
          <w:shd w:val="clear" w:color="auto" w:fill="FFFFFF"/>
        </w:rPr>
        <w:t>odine</w:t>
      </w:r>
      <w:r w:rsidR="00F122B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u iznosu od 7.791.400,00 kn</w:t>
      </w:r>
      <w:r w:rsidR="008F3683">
        <w:rPr>
          <w:rFonts w:cstheme="minorHAnsi"/>
          <w:color w:val="000000" w:themeColor="text1"/>
          <w:sz w:val="24"/>
          <w:szCs w:val="24"/>
          <w:shd w:val="clear" w:color="auto" w:fill="FFFFFF"/>
        </w:rPr>
        <w:t>, te će obveze po navedenom dugoročnom kreditu biti iskazane u izvještaju o zaduženju polugodišnjeg izvršenja proračuna Grada Novske za razdoblje od siječnja do lipnja 2021. godine.</w:t>
      </w:r>
    </w:p>
    <w:p w:rsidR="001227B2" w:rsidRPr="0024301A" w:rsidRDefault="001227B2" w:rsidP="00CA7D6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sectPr w:rsidR="001227B2" w:rsidRPr="002430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B2" w:rsidRDefault="001227B2" w:rsidP="002B20B3">
      <w:pPr>
        <w:spacing w:after="0" w:line="240" w:lineRule="auto"/>
      </w:pPr>
      <w:r>
        <w:separator/>
      </w:r>
    </w:p>
  </w:endnote>
  <w:endnote w:type="continuationSeparator" w:id="0">
    <w:p w:rsidR="001227B2" w:rsidRDefault="001227B2" w:rsidP="002B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214701"/>
      <w:docPartObj>
        <w:docPartGallery w:val="Page Numbers (Bottom of Page)"/>
        <w:docPartUnique/>
      </w:docPartObj>
    </w:sdtPr>
    <w:sdtEndPr/>
    <w:sdtContent>
      <w:p w:rsidR="001227B2" w:rsidRDefault="001227B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B2F">
          <w:rPr>
            <w:noProof/>
          </w:rPr>
          <w:t>2</w:t>
        </w:r>
        <w:r>
          <w:fldChar w:fldCharType="end"/>
        </w:r>
      </w:p>
    </w:sdtContent>
  </w:sdt>
  <w:p w:rsidR="001227B2" w:rsidRDefault="001227B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B2" w:rsidRDefault="001227B2" w:rsidP="002B20B3">
      <w:pPr>
        <w:spacing w:after="0" w:line="240" w:lineRule="auto"/>
      </w:pPr>
      <w:r>
        <w:separator/>
      </w:r>
    </w:p>
  </w:footnote>
  <w:footnote w:type="continuationSeparator" w:id="0">
    <w:p w:rsidR="001227B2" w:rsidRDefault="001227B2" w:rsidP="002B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A9A8292C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045233"/>
    <w:rsid w:val="000903F8"/>
    <w:rsid w:val="000A2B22"/>
    <w:rsid w:val="001227B2"/>
    <w:rsid w:val="00167A56"/>
    <w:rsid w:val="001C39F3"/>
    <w:rsid w:val="0020169E"/>
    <w:rsid w:val="0024301A"/>
    <w:rsid w:val="00276A94"/>
    <w:rsid w:val="00294575"/>
    <w:rsid w:val="002B20B3"/>
    <w:rsid w:val="003F4431"/>
    <w:rsid w:val="004A1FF9"/>
    <w:rsid w:val="004B7E8E"/>
    <w:rsid w:val="00547139"/>
    <w:rsid w:val="00576B4E"/>
    <w:rsid w:val="005A26CB"/>
    <w:rsid w:val="005D477B"/>
    <w:rsid w:val="007004E3"/>
    <w:rsid w:val="007B565C"/>
    <w:rsid w:val="007C0C02"/>
    <w:rsid w:val="007D601A"/>
    <w:rsid w:val="008436E8"/>
    <w:rsid w:val="008D2AD5"/>
    <w:rsid w:val="008F3683"/>
    <w:rsid w:val="00973823"/>
    <w:rsid w:val="00980CCB"/>
    <w:rsid w:val="009A2503"/>
    <w:rsid w:val="00A0634B"/>
    <w:rsid w:val="00B1563C"/>
    <w:rsid w:val="00B3681C"/>
    <w:rsid w:val="00B631BA"/>
    <w:rsid w:val="00B6455A"/>
    <w:rsid w:val="00BA2B2F"/>
    <w:rsid w:val="00BF3B7B"/>
    <w:rsid w:val="00C05929"/>
    <w:rsid w:val="00C06E83"/>
    <w:rsid w:val="00C26C2A"/>
    <w:rsid w:val="00C90FF0"/>
    <w:rsid w:val="00CA7D61"/>
    <w:rsid w:val="00CD1045"/>
    <w:rsid w:val="00D161BC"/>
    <w:rsid w:val="00E75BA1"/>
    <w:rsid w:val="00EF5D7A"/>
    <w:rsid w:val="00F122BF"/>
    <w:rsid w:val="00FE4295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20B3"/>
  </w:style>
  <w:style w:type="paragraph" w:styleId="Podnoje">
    <w:name w:val="footer"/>
    <w:basedOn w:val="Normal"/>
    <w:link w:val="Podno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20B3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24301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243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20B3"/>
  </w:style>
  <w:style w:type="paragraph" w:styleId="Podnoje">
    <w:name w:val="footer"/>
    <w:basedOn w:val="Normal"/>
    <w:link w:val="Podno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20B3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24301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243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22</cp:revision>
  <cp:lastPrinted>2021-04-28T08:37:00Z</cp:lastPrinted>
  <dcterms:created xsi:type="dcterms:W3CDTF">2019-10-01T14:44:00Z</dcterms:created>
  <dcterms:modified xsi:type="dcterms:W3CDTF">2021-06-02T13:19:00Z</dcterms:modified>
</cp:coreProperties>
</file>